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 w:line="280"/>
        <w:jc w:val="left"/>
      </w:pPr>
      <w:r>
        <w:rPr>
          <w:rFonts w:ascii="Microsoft JhengHei" w:cs="Microsoft JhengHei" w:eastAsia="Microsoft JhengHei" w:hAnsi="Microsoft JhengHei"/>
          <w:b/>
          <w:bCs/>
          <w:i w:val="false"/>
          <w:iCs w:val="false"/>
          <w:color w:val="000000"/>
          <w:sz w:val="30"/>
          <w:szCs w:val="30"/>
        </w:rPr>
        <w:t xml:space="preserve">中興電（1513）券商觀點摘要</w:t>
      </w:r>
    </w:p>
    <w:p>
      <w:pPr>
        <w:spacing w:after="200" w:before="0" w:line="280"/>
        <w:jc w:val="left"/>
      </w:pP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color w:val="555555"/>
          <w:sz w:val="18"/>
          <w:szCs w:val="18"/>
        </w:rPr>
        <w:t xml:space="preserve">摩根士丹利（大摩，外資，具名）　｜　2026/08/11（二）早盤場次　｜　產業：重電／電力設備－氣體絕緣開關設備（GIS）</w:t>
      </w:r>
    </w:p>
    <w:p>
      <w:pPr>
        <w:spacing w:after="100" w:before="240" w:line="280"/>
        <w:jc w:val="left"/>
      </w:pPr>
      <w:r>
        <w:rPr>
          <w:rFonts w:ascii="Microsoft JhengHei" w:cs="Microsoft JhengHei" w:eastAsia="Microsoft JhengHei" w:hAnsi="Microsoft JhengHei"/>
          <w:b/>
          <w:bCs/>
          <w:i w:val="false"/>
          <w:iCs w:val="false"/>
          <w:color w:val="000000"/>
          <w:sz w:val="24"/>
          <w:szCs w:val="24"/>
        </w:rPr>
        <w:t xml:space="preserve">一、評等與目標價摘要</w:t>
      </w:r>
    </w:p>
    <w:tbl>
      <w:tblPr>
        <w:tblW w:type="dxa" w:w="9360"/>
        <w:tblBorders>
          <w:top w:val="single" w:color="AAB4C8" w:sz="4"/>
          <w:left w:val="single" w:color="AAB4C8" w:sz="4"/>
          <w:bottom w:val="single" w:color="AAB4C8" w:sz="4"/>
          <w:right w:val="single" w:color="AAB4C8" w:sz="4"/>
          <w:insideH w:val="single" w:color="C8D0DE" w:sz="2"/>
          <w:insideV w:val="single" w:color="C8D0DE" w:sz="2"/>
        </w:tblBorders>
      </w:tblPr>
      <w:tblGrid>
        <w:gridCol w:w="1900"/>
        <w:gridCol w:w="7460"/>
      </w:tblGrid>
      <w:tr>
        <w:trPr>
          <w:tblHeader/>
        </w:trPr>
        <w:tc>
          <w:tcPr>
            <w:tcW w:type="dxa" w:w="1900"/>
            <w:shd w:fill="1F3864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Microsoft JhengHei" w:cs="Microsoft JhengHei" w:eastAsia="Microsoft JhengHei" w:hAnsi="Microsoft JhengHe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項目</w:t>
            </w:r>
          </w:p>
        </w:tc>
        <w:tc>
          <w:tcPr>
            <w:tcW w:type="dxa" w:w="7460"/>
            <w:shd w:fill="1F3864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Microsoft JhengHei" w:cs="Microsoft JhengHei" w:eastAsia="Microsoft JhengHei" w:hAnsi="Microsoft JhengHe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內容</w:t>
            </w:r>
          </w:p>
        </w:tc>
      </w:tr>
      <w:tr>
        <w:tc>
          <w:tcPr>
            <w:tcW w:type="dxa" w:w="1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Microsoft JhengHei" w:cs="Microsoft JhengHei" w:eastAsia="Microsoft JhengHei" w:hAnsi="Microsoft JhengHei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券商</w:t>
            </w:r>
          </w:p>
        </w:tc>
        <w:tc>
          <w:tcPr>
            <w:tcW w:type="dxa" w:w="746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摩根士丹利證券（具名）／外資</w:t>
            </w:r>
          </w:p>
        </w:tc>
      </w:tr>
      <w:tr>
        <w:tc>
          <w:tcPr>
            <w:tcW w:type="dxa" w:w="1900"/>
            <w:shd w:fill="F2F5FA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Microsoft JhengHei" w:cs="Microsoft JhengHei" w:eastAsia="Microsoft JhengHei" w:hAnsi="Microsoft JhengHei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評等</w:t>
            </w:r>
          </w:p>
        </w:tc>
        <w:tc>
          <w:tcPr>
            <w:tcW w:type="dxa" w:w="7460"/>
            <w:shd w:fill="F2F5FA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中立（初評）</w:t>
            </w:r>
          </w:p>
        </w:tc>
      </w:tr>
      <w:tr>
        <w:tc>
          <w:tcPr>
            <w:tcW w:type="dxa" w:w="1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Microsoft JhengHei" w:cs="Microsoft JhengHei" w:eastAsia="Microsoft JhengHei" w:hAnsi="Microsoft JhengHei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目標價（新）</w:t>
            </w:r>
          </w:p>
        </w:tc>
        <w:tc>
          <w:tcPr>
            <w:tcW w:type="dxa" w:w="746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未給</w:t>
            </w:r>
          </w:p>
        </w:tc>
      </w:tr>
      <w:tr>
        <w:tc>
          <w:tcPr>
            <w:tcW w:type="dxa" w:w="1900"/>
            <w:shd w:fill="F2F5FA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Microsoft JhengHei" w:cs="Microsoft JhengHei" w:eastAsia="Microsoft JhengHei" w:hAnsi="Microsoft JhengHei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目標價（前）</w:t>
            </w:r>
          </w:p>
        </w:tc>
        <w:tc>
          <w:tcPr>
            <w:tcW w:type="dxa" w:w="7460"/>
            <w:shd w:fill="F2F5FA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無－本次為初次評等</w:t>
            </w:r>
          </w:p>
        </w:tc>
      </w:tr>
      <w:tr>
        <w:tc>
          <w:tcPr>
            <w:tcW w:type="dxa" w:w="1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Microsoft JhengHei" w:cs="Microsoft JhengHei" w:eastAsia="Microsoft JhengHei" w:hAnsi="Microsoft JhengHei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評價基礎</w:t>
            </w:r>
          </w:p>
        </w:tc>
        <w:tc>
          <w:tcPr>
            <w:tcW w:type="dxa" w:w="746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原文未揭露（無 EPS、無本益比、無目標價）</w:t>
            </w:r>
          </w:p>
        </w:tc>
      </w:tr>
      <w:tr>
        <w:tc>
          <w:tcPr>
            <w:tcW w:type="dxa" w:w="1900"/>
            <w:shd w:fill="F2F5FA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Microsoft JhengHei" w:cs="Microsoft JhengHei" w:eastAsia="Microsoft JhengHei" w:hAnsi="Microsoft JhengHei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報告出具日期</w:t>
            </w:r>
          </w:p>
        </w:tc>
        <w:tc>
          <w:tcPr>
            <w:tcW w:type="dxa" w:w="7460"/>
            <w:shd w:fill="F2F5FA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未載（工商時報 2026/08/11 03:00 見報）</w:t>
            </w:r>
          </w:p>
        </w:tc>
      </w:tr>
      <w:tr>
        <w:tc>
          <w:tcPr>
            <w:tcW w:type="dxa" w:w="1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Microsoft JhengHei" w:cs="Microsoft JhengHei" w:eastAsia="Microsoft JhengHei" w:hAnsi="Microsoft JhengHei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同批報告對照</w:t>
            </w:r>
          </w:p>
        </w:tc>
        <w:tc>
          <w:tcPr>
            <w:tcW w:type="dxa" w:w="746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同一份大摩電力設備報告中，華城（1519）獲「買進」、推測合理股價 810 元，兩檔評等分歧。</w:t>
            </w:r>
          </w:p>
        </w:tc>
      </w:tr>
      <w:tr>
        <w:tc>
          <w:tcPr>
            <w:tcW w:type="dxa" w:w="1900"/>
            <w:shd w:fill="F2F5FA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Microsoft JhengHei" w:cs="Microsoft JhengHei" w:eastAsia="Microsoft JhengHei" w:hAnsi="Microsoft JhengHei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既有序列對照</w:t>
            </w:r>
          </w:p>
        </w:tc>
        <w:tc>
          <w:tcPr>
            <w:tcW w:type="dxa" w:w="7460"/>
            <w:shd w:fill="F2F5FA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本系統 2026/08/01 已收錄 FactSet 分析師共識（7 位分析師，積極樂觀 4／中立 1）目標價 191 元。大摩本次「中立」與該共識的偏多傾向方向不一致。</w:t>
            </w:r>
          </w:p>
        </w:tc>
      </w:tr>
    </w:tbl>
    <w:p>
      <w:pPr>
        <w:spacing w:after="100" w:before="240" w:line="280"/>
        <w:jc w:val="left"/>
      </w:pPr>
      <w:r>
        <w:rPr>
          <w:rFonts w:ascii="Microsoft JhengHei" w:cs="Microsoft JhengHei" w:eastAsia="Microsoft JhengHei" w:hAnsi="Microsoft JhengHei"/>
          <w:b/>
          <w:bCs/>
          <w:i w:val="false"/>
          <w:iCs w:val="false"/>
          <w:color w:val="000000"/>
          <w:sz w:val="24"/>
          <w:szCs w:val="24"/>
        </w:rPr>
        <w:t xml:space="preserve">二、投資論點</w:t>
      </w:r>
    </w:p>
    <w:p>
      <w:pPr>
        <w:spacing w:after="50" w:before="0" w:line="280"/>
        <w:jc w:val="left"/>
      </w:pP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color w:val="000000"/>
          <w:sz w:val="19"/>
          <w:szCs w:val="19"/>
        </w:rPr>
        <w:t xml:space="preserve">・大摩肯定中興電在氣體絕緣開關設備（GIS）的市占領先地位。</w:t>
      </w:r>
    </w:p>
    <w:p>
      <w:pPr>
        <w:spacing w:after="50" w:before="0" w:line="280"/>
        <w:jc w:val="left"/>
      </w:pP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color w:val="000000"/>
          <w:sz w:val="19"/>
          <w:szCs w:val="19"/>
        </w:rPr>
        <w:t xml:space="preserve">・產業層面與華城共享同一多頭前提：全球電力基礎建設、電網升級及 AI 驅動資料中心加速建設，帶動主要已開發市場電力需求穩步攀升，台系指標供應鏈為重要受惠對象。</w:t>
      </w:r>
    </w:p>
    <w:p>
      <w:pPr>
        <w:spacing w:after="100" w:before="240" w:line="280"/>
        <w:jc w:val="left"/>
      </w:pPr>
      <w:r>
        <w:rPr>
          <w:rFonts w:ascii="Microsoft JhengHei" w:cs="Microsoft JhengHei" w:eastAsia="Microsoft JhengHei" w:hAnsi="Microsoft JhengHei"/>
          <w:b/>
          <w:bCs/>
          <w:i w:val="false"/>
          <w:iCs w:val="false"/>
          <w:color w:val="000000"/>
          <w:sz w:val="24"/>
          <w:szCs w:val="24"/>
        </w:rPr>
        <w:t xml:space="preserve">三、營運與財務數字</w:t>
      </w:r>
    </w:p>
    <w:p>
      <w:pPr>
        <w:spacing w:after="50" w:before="0" w:line="280"/>
        <w:jc w:val="left"/>
      </w:pP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color w:val="000000"/>
          <w:sz w:val="19"/>
          <w:szCs w:val="19"/>
        </w:rPr>
        <w:t xml:space="preserve">・大摩持中性看法的核心理由（原文逐字）：「中興電在氣體絕緣開關設備（GIS）市占領先，然由於營收高度依賴台電訂單，對台電採購時程與交貨進度的依賴度較高，可能導致營收、獲利表現出現較大的波動」。</w:t>
      </w:r>
    </w:p>
    <w:p>
      <w:pPr>
        <w:spacing w:after="50" w:before="0" w:line="280"/>
        <w:jc w:val="left"/>
      </w:pP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color w:val="000000"/>
          <w:sz w:val="19"/>
          <w:szCs w:val="19"/>
        </w:rPr>
        <w:t xml:space="preserve">・中興電今年以來股價落後加權指數，原因在於市場資金集中於 AI 題材，加上對台電出貨進度放緩，營收成長表現較為疲弱。</w:t>
      </w:r>
    </w:p>
    <w:p>
      <w:pPr>
        <w:spacing w:after="100" w:before="240" w:line="280"/>
        <w:jc w:val="left"/>
      </w:pPr>
      <w:r>
        <w:rPr>
          <w:rFonts w:ascii="Microsoft JhengHei" w:cs="Microsoft JhengHei" w:eastAsia="Microsoft JhengHei" w:hAnsi="Microsoft JhengHei"/>
          <w:b/>
          <w:bCs/>
          <w:i w:val="false"/>
          <w:iCs w:val="false"/>
          <w:color w:val="000000"/>
          <w:sz w:val="24"/>
          <w:szCs w:val="24"/>
        </w:rPr>
        <w:t xml:space="preserve">四、風險與資訊缺口</w:t>
      </w:r>
    </w:p>
    <w:p>
      <w:pPr>
        <w:spacing w:after="50" w:before="0" w:line="280"/>
        <w:jc w:val="left"/>
      </w:pP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color w:val="000000"/>
          <w:sz w:val="19"/>
          <w:szCs w:val="19"/>
        </w:rPr>
        <w:t xml:space="preserve">・最大缺口：完全未給目標價，亦未揭露 EPS 與本益比，無法判斷大摩認為的合理評價水準，也無法計算與現價的距離。</w:t>
      </w:r>
    </w:p>
    <w:p>
      <w:pPr>
        <w:spacing w:after="50" w:before="0" w:line="280"/>
        <w:jc w:val="left"/>
      </w:pP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color w:val="000000"/>
          <w:sz w:val="19"/>
          <w:szCs w:val="19"/>
        </w:rPr>
        <w:t xml:space="preserve">・未載報告出具日期，原文未提供近期股價。</w:t>
      </w:r>
    </w:p>
    <w:p>
      <w:pPr>
        <w:spacing w:after="50" w:before="0" w:line="280"/>
        <w:jc w:val="left"/>
      </w:pP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color w:val="000000"/>
          <w:sz w:val="19"/>
          <w:szCs w:val="19"/>
        </w:rPr>
        <w:t xml:space="preserve">・「中立」評等在本則報導中僅以一句話帶過，資訊密度明顯低於同批華城的論述，本則實質為華城報告的附帶提及。</w:t>
      </w:r>
    </w:p>
    <w:p>
      <w:pPr>
        <w:spacing w:after="50" w:before="0" w:line="280"/>
        <w:jc w:val="left"/>
      </w:pP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color w:val="000000"/>
          <w:sz w:val="19"/>
          <w:szCs w:val="19"/>
        </w:rPr>
        <w:t xml:space="preserve">・客戶集中風險（高度依賴台電）為既有事實而非新資訊，大摩未說明此風險相較過去是加劇或緩解。</w:t>
      </w:r>
    </w:p>
    <w:p>
      <w:pPr>
        <w:spacing w:after="50" w:before="0" w:line="280"/>
        <w:jc w:val="left"/>
      </w:pP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color w:val="000000"/>
          <w:sz w:val="19"/>
          <w:szCs w:val="19"/>
        </w:rPr>
        <w:t xml:space="preserve">・與 8/1 已收錄之 FactSet 共識（7 位分析師中 4 位積極樂觀、目標價 191 元）方向不一致，惟共識日期較早，兩者不宜直接對比。</w:t>
      </w:r>
    </w:p>
    <w:p>
      <w:pPr>
        <w:spacing w:after="100" w:before="240" w:line="280"/>
        <w:jc w:val="left"/>
      </w:pPr>
      <w:r>
        <w:rPr>
          <w:rFonts w:ascii="Microsoft JhengHei" w:cs="Microsoft JhengHei" w:eastAsia="Microsoft JhengHei" w:hAnsi="Microsoft JhengHei"/>
          <w:b/>
          <w:bCs/>
          <w:i w:val="false"/>
          <w:iCs w:val="false"/>
          <w:color w:val="000000"/>
          <w:sz w:val="24"/>
          <w:szCs w:val="24"/>
        </w:rPr>
        <w:t xml:space="preserve">五、來源連結</w:t>
      </w:r>
    </w:p>
    <w:p>
      <w:pPr>
        <w:spacing w:after="40" w:before="0" w:line="280"/>
        <w:jc w:val="left"/>
      </w:pP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color w:val="000000"/>
          <w:sz w:val="16"/>
          <w:szCs w:val="16"/>
        </w:rPr>
        <w:t xml:space="preserve">・工商時報〈華城股價疲弱反而是機會！大摩初評就喊買 究竟看上什麼？〉2026/08/11 03:00（記者簡威瑟）：https://www.ctee.com.tw/news/20260811700080-430201</w:t>
      </w:r>
    </w:p>
    <w:p>
      <w:pPr>
        <w:spacing w:after="80" w:before="200" w:line="280"/>
        <w:jc w:val="left"/>
      </w:pP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color w:val="777777"/>
          <w:sz w:val="16"/>
          <w:szCs w:val="16"/>
        </w:rPr>
        <w:t xml:space="preserve">本摘要依公開新聞整理，非完整報告。</w:t>
      </w:r>
    </w:p>
    <w:sectPr>
      <w:headerReference w:type="default" r:id="rId9"/>
      <w:pgSz w:w="11906" w:h="16838" w:orient="portrait"/>
      <w:pgMar w:top="1000" w:right="1080" w:bottom="100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="http://schemas.openxmlformats.org/wordprocessingml/2006/main" xmlns:r="http://schemas.openxmlformats.org/officeDocument/2006/relationships" xmlns:v="urn:schemas-microsoft-com:vml" xmlns:o="urn:schemas-microsoft-com:office:office" xmlns:w10="urn:schemas-microsoft-com:office:word">
  <w:p>
    <w:pPr>
      <w:spacing w:after="0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WordWaterMark6187" o:spid="_x0000_s2049" type="#_x0000_t136" style="position:absolute;margin-left:0;margin-top:0;width:520pt;height:80pt;rotation:315;z-index:-251656192;mso-position-horizontal:center;mso-position-horizontal-relative:margin;mso-position-vertical:center;mso-position-vertical-relative:margin" o:allowincell="f" fillcolor="#e8e8e8" stroked="f">
          <v:fill opacity=".18"/>
          <v:textpath style="font-family:&quot;Microsoft JhengHei&quot;;font-size:1pt" string="旺來 wowwow31001"/>
        </v:shape>
      </w:pic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JhengHei" w:cs="Microsoft JhengHei" w:eastAsia="Microsoft JhengHei" w:hAnsi="Microsoft JhengHe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Relationship Id="rId9" Type="http://schemas.openxmlformats.org/officeDocument/2006/relationships/header" Target="header1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2026-08-11T00:33:51.753Z</dcterms:created>
  <dcterms:modified xsi:type="dcterms:W3CDTF">2026-08-11T00:33:51.753Z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