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中興電(1513)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重電／電力設備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5位分析師：積極樂觀3／中立2／悲觀0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195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180（+8.33%）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最新調查（5 位分析師）：中興電目標價中位數由 180 元上修至 195 元，調升幅度 8.33%。最高估值 214 元、最低 166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・綜合評級：積極樂觀 3 位、保持中立 2 位、保守悲觀 0 位——無任何機構看空。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與同窗口內資法人 181 元形成 7.7% 分歧，且 FactSet 為上修、內資法人為「維持」，方向強度不同。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・本次為連續第二次上修：前一次由 180 元前的水準升至 191 元（+6.11%），本次再推進至 195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・基本面支撐：上半年 EPS 4.5 元創歷史同期新高，在手訂單 431 億元能見度至 2030 年。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共識為多家機構彙整值，無論述內文、無 EPS、無本益比，195 元評價基礎無法獨立驗證。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・僅 5 位分析師覆蓋，樣本數偏少，單一機構調整即可明顯拉動中位數。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・最高 214 元、最低 166 元，全距 28.9%，分歧不小。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・195 元對照 8/12 收盤 165.5 元隱含空間約 17.8%；惟 8/13 股價已漲至 171 元（+3.32%），空間進一步壓縮至約 14%（本系統回算）。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・共識上修時點落在股價連續走強之後，屬追認型調整而非領先訊號。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https://news.cnyes.com/news/id/6574443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