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32"/>
          <w:szCs w:val="32"/>
        </w:rPr>
        <w:t xml:space="preserve">中鋼（2002）個股摘要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資料日期：2026/07/24　整理日期：2026/07/25　券商：本土法人（報導未具名）／內資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買進（維持）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 元（前值未揭露；以 7/23 收盤 19.10 元計，潛在漲幅約 20%）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2026 / 2027 EPS 預估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0.21 元 / 0.49 元（高於市場平均預估 0.17 / 0.41 元）※文內另有全年稅後淨利21.7億元、EPS 0.14元之說法，數字不一致，待確認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評價依據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過往股價淨值比約 1～1.7 倍，目前評價尚未偏高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產業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鋼鐵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投資論點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Q2 獲利優於預期：營收 888.4 億元（季增 12.2%、年增 4.4%），營業利益 36.7 億元、稅前盈餘 33.1 億元均轉虧為盈，營益率 4.1%；鋼價調升幅度高於煤鐵原料成本增幅，本業利差明顯改善。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Q3 淡季仍可獲利：亞洲進入傳統淡季、7/8 月月盤下調但季盤仍漲，估營收 849.3 億元、稅後淨利 11 億元（EPS 0.07 元），利差季減但維持正獲利。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Q4 旺季利差再擴大：銷量可望季增、盤價有調升機會，加上煤鐵價格回落，估營收 890.9 億元、稅後淨利 24.2 億元（季增 121%、EPS 0.15 元）。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出貨量：Q2 中鋼+中龍合併鋼品銷量 270.7 萬噸（年增 5.3%），略低於原估 280 萬噸；Q3 估約 270 萬噸。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替代市場：韓國對日本及中國鋼品課徵反傾銷稅，為中鋼提供銷歐減量後的替代去化管道。</w:t>
      </w:r>
    </w:p>
    <w:p>
      <w:pPr>
        <w:pStyle w:val="Heading2"/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風險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鋼品需求不如預期（亞洲淡季鋼價疲弱）。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日本可能於明年對台灣鋼品課徵反傾銷稅。</w:t>
      </w:r>
    </w:p>
    <w:p>
      <w:pPr>
        <w:spacing w:after="100"/>
        <w:ind w:left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 歐盟 7 月起新鋼品關稅制度：免稅配額減少、逾額關稅 25%→50%，台灣整體銷歐配額估減約 5 成；歐洲占中鋼與中龍出口比重 10.6%，上半年銷歐已年減 30%，下半年估續降。</w:t>
      </w:r>
    </w:p>
    <w:p>
      <w:pPr>
        <w:pStyle w:val="Heading2"/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來源連結</w:t>
      </w:r>
    </w:p>
    <w:p>
      <w:pPr>
        <w:spacing w:after="80"/>
      </w:pPr>
      <w:hyperlink w:history="1" r:id="rIdwqh0wt9a5jbgxnvaef9j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三立新聞網：股東必看！中鋼新目標價出爐（2026/07/24 06:45）</w:t>
        </w:r>
      </w:hyperlink>
    </w:p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qh0wt9a5jbgxnvaef9jj" Type="http://schemas.openxmlformats.org/officeDocument/2006/relationships/hyperlink" Target="https://www.setn.com/news/1877402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2026-07-25T11:22:25.849Z</dcterms:created>
  <dcterms:modified xsi:type="dcterms:W3CDTF">2026-07-25T11:22:25.849Z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