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icrosoft JhengHei" w:hAnsi="Microsoft JhengHei" w:eastAsia="Microsoft JhengHei" w:cs="Microsoft JhengHei"/>
          <w:b/>
          <w:color w:val="1F3864"/>
          <w:sz w:val="34"/>
        </w:rPr>
        <w:t>中鋼（2002）｜國票投顧 24 元、華南投顧 22.8 元　全年轉虧為盈但 Q3 淡季壓力浮現</w:t>
      </w:r>
    </w:p>
    <w:p>
      <w:pPr>
        <w:spacing w:before="0" w:after="20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2026/07/28 07:58 發布（報告日 2026/07/27）　｜　內資（國票投顧、華南投顧）　｜　鋼鐵（兼離岸風電／綠電）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一、評等／目標價摘要</w:t>
      </w:r>
    </w:p>
    <w:tbl>
      <w:tblPr>
        <w:tblStyle w:val="TableGrid"/>
        <w:tblW w:type="dxa" w:w="9355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c>
          <w:tcPr>
            <w:tcW w:type="dxa" w:w="2268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7"/>
            <w:shd w:val="clear" w:fill="1F386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國票投顧、華南投顧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兩家皆「維持買進」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國票 24 元；華南 22.8 元（由 22.7 元微升）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前次紀錄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7/24 本土法人買進、目標價 23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年全年（國票）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營收 3,570.5 億元（＋12.58%）、毛利率 5.76%、稅後 40.53 億元轉虧為盈、EPS 0.25 元、出貨約 1,090 萬噸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年全年（華南）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0.26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Q2（國票）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毛利率 6.88%、稅後純益 24.55 億元、EPS 0.16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Q3（國票）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出貨約 280 萬噸、營收 901.04 億元（季增 1.42%、年增 22.56%）、毛利率 5.27%、EPS 0.07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Q3（華南）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出貨目標由 290 萬噸下修至 270 萬噸；8 月盤價每噸調降 800 元（Q3 月盤累計降 1,100 元）；EPS 降至 0.02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Q4（華南）</w:t>
            </w:r>
          </w:p>
        </w:tc>
        <w:tc>
          <w:tcPr>
            <w:tcW w:type="dxa" w:w="7087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毛利率估旺季增 4.1 個百分點至 8.5%</w:t>
            </w:r>
          </w:p>
        </w:tc>
      </w:tr>
    </w:tbl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二、論點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全年轉虧為盈是兩家共同結論：國票估 2026 年稅後 40.53 億元、EPS 0.25 元；華南估 EPS 0.26 元，數字接近。上半年營業利益 30.46 億元、稅前淨利 23.39 億元雙雙轉盈。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分歧在 Q3 深度：國票估 Q3 EPS 0.07 元、出貨約 280 萬噸；華南已將出貨目標由 290 萬噸下修至 270 萬噸，Q3 EPS 降至僅 0.02 元，對淡季看法明顯更保守。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價格是關鍵變數：8 月盤價每噸調降 800 元，Q3 月盤累計已調降 1,100 元，反映區域鋼價走弱與下游補庫存轉保守。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Q4 為獲利集中期：華南估 Q4 毛利率因旺季增 4.1 個百分點至 8.5%，全年獲利高度押注下半年最後一季。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與 7/24 本土法人 23 元目標價相比，本次國票 24 元略高、華南 22.8 元略低，機構區間收斂於 22.8–24 元。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三、風險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Q3 進入傳統淡季，受亞洲雨季、歐洲暑休、歐盟鋼鐵關稅新制及區域鋼價走弱影響，下游補庫存轉趨保守。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6 月已因颱風豪雨造成鋼品出貨月減 18.8% 至 77.6 萬噸，天候干擾對單月出貨影響顯著。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成本端壓力：鐵礦砂約 98 美元／噸、澳洲強冶金煤約 220 美元／噸，須平均售價止跌回升，利差才會實質擴大。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獲利基期極低（全年 EPS 僅 0.25–0.26 元），任何價格或出貨假設的小幅變動都會造成 EPS 大幅百分比波動。</w:t>
      </w:r>
    </w:p>
    <w:p>
      <w:pPr>
        <w:spacing w:before="0" w:after="60"/>
        <w:ind w:left="120"/>
      </w:pPr>
      <w:r>
        <w:rPr>
          <w:rFonts w:ascii="Microsoft JhengHei" w:hAnsi="Microsoft JhengHei" w:eastAsia="Microsoft JhengHei" w:cs="Microsoft JhengHei"/>
          <w:b w:val="0"/>
          <w:sz w:val="20"/>
        </w:rPr>
        <w:t>• Q4 旺季毛利率增 4.1pp 為全年獲利關鍵假設，若旺季不旺，全年轉盈幅度將顯著縮水。</w:t>
      </w:r>
    </w:p>
    <w:p>
      <w:pPr>
        <w:spacing w:before="200" w:after="100"/>
      </w:pPr>
      <w:r>
        <w:rPr>
          <w:rFonts w:ascii="Microsoft JhengHei" w:hAnsi="Microsoft JhengHei" w:eastAsia="Microsoft JhengHei" w:cs="Microsoft JhengHei"/>
          <w:b/>
          <w:color w:val="1F3864"/>
          <w:sz w:val="25"/>
        </w:rPr>
        <w:t>資料來源</w:t>
      </w:r>
    </w:p>
    <w:p>
      <w:pPr>
        <w:spacing w:before="0" w:after="40"/>
        <w:ind w:left="120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</w:rPr>
        <w:t>• 旺得富 07/28｜中鋼穩了！外資連 10 敲 19 萬張 法人圈目標價再刷高  https://wantrich.chinatimes.com/news/20260728900004-420101</w:t>
      </w:r>
    </w:p>
    <w:p>
      <w:pPr>
        <w:spacing w:before="120" w:after="60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</w:rPr>
        <w:t>本摘要依公開新聞整理，非完整報告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