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中鋼（2002）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鋼鐵　│　資料日期 2026/08/01（報告出具日 7/31）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與 7/24 本土法人 23 元一致；7/27 國票投顧 24 元、華南投顧 22.8 元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全年可望虧轉盈，兩大理由：一是美國鋼價穩定走升，二是淡季出貨仍優於去年同期。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短期逆風：時序進入用鋼淡季，預估 8 月盤價恐續跌。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財務預估：2026 年營收年增 8.6% 至 3,179 億元，稅後純益 82.7 億元，EPS 0.53 元。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年底每股淨值預估 19.3 元，目標價 23 元對應約 1.19 倍股價淨值比。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8 月盤價若跌幅超出預期，將直接壓縮下半年獲利回升幅度。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獲利基期極低（EPS 僅 0.53 元），評價高度依賴淨值而非盈餘，本益比參考性低。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美國鋼價走勢與關稅政策為主要外部變數。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中國鋼材出口動能若再度轉強，將壓抑亞洲盤價。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 https://wantrich.chinatimes.com/news/20260801900005-420101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