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中鋼（2002）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產業：鋼鐵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20260821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22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本表未載前值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無法計算（前值欄空白）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19.45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+13.11%（本系統回算）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本場次唯一一檔非電子權值股。20260821 FactSet 共識表列新目標價 22 元，評等欄留空、無前值。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22 元對表列現價 19.45 元的隱含空間 +13.11%，是本場次六檔中幅度最小的一檔，符合傳產大型股共識目標價貼近現價的常態。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本檔出現在共識表本身即是一個訊號：近月本表以電子股為壓倒性多數，鋼鐵股入表通常對應原物料報價或匯率預期的邊際變化，但本表未提供任何論述可供佐證。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★無評等、無前值、無論述，僅一個目標價數字。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中鋼屬景氣循環股，共識目標價對鋼價假設極度敏感，單一數字的參考價值低於電子成長股。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