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亞力(1514)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法人（未具名） ｜ 內資 ｜ 2026 年 08 月 13 日（盤後場次）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法人（原文未具名）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內／外資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重電／電力設備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維持（原文未列制式評等）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151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未載（維持）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見報日期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2026/08/13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・法人維持 151 元目標價。8/13 盤中漲幅約 2%，隨中興電領軍的重電族群同步走高。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・訂單結構分散：台電強韌電網、新電廠、軌道工程及 AIDC 同步挹注，目前在手訂單約 120 億元，能見度延伸至 2029 年。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最值得注意的營運指標：新增接單金額持續高於出貨——這代表在手訂單仍在淨增加，而非消耗既有訂單。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・法人看好下半年營運優於上半年，隨高毛利設備出貨占比增加、產品組合改善，毛利率亦有逐步回升空間。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三、風險與資訊落差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・券商未具名、未載報告出具日期，未給制式評等文字，151 元為「維持」而非調整，訊號強度弱。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・未揭露 EPS 預估、本益比與目標價對應年度，151 元完全無法回算；未載前值，方向無從判斷。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・在手訂單 120 億元為四雄中規模最小（華城逾200億、中興電431億），規模效應與議價能力相對弱。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・「新增接單持續高於出貨」未提供具體金額或訂單出貨比（B/B ratio）數字，無法檢核。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・毛利率「有逐步回升空間」屬定性描述，未提供目前毛利率水準與回升目標。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・本檔為本系統首次收錄，既有序列為空，無前期對照基準。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四、來源連結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https://www.ftnn.com.tw/news/569522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