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亞力(1514)　龍頭券商旗下投顧：持有、目標價113元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★未具名（原文稱「龍頭券商旗下投顧」）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重電－配電盤／電力設備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持有（★相對保守，同份報告中低於華城、中興電）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113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同一份重電族群報告中，亞力與東元僅獲「持有」評等，明顯低於華城、中興電的「買進」。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產業面驅動力與族群一致：民間資本支出與資料中心用電成長。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★原文未針對亞力個別揭露營收、EPS或訂單數字。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評等僅「持有」，顯示分析師認為評價已反映基本面。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★原文未提供個股層級財務預估與評價基礎。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族群股價已自高點回跌18～32%。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 06:00）　https://wantrich.chinatimes.com/news/20260909900001-420101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