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亞德客-KY（1590）券商觀點摘要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資料來源：工商時報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產業分類：機械－氣動元件（自動化／半導體設備）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15 家投顧、外資券商</w:t>
              <w:br/>
              <w:t xml:space="preserve">（內外資，均未具名）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均給予買進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1,750 ～ 2,000 元</w:t>
              <w:br/>
              <w:t xml:space="preserve">（區間）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工商時報權證專欄彙整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FactSet 20 位分析師</w:t>
              <w:br/>
              <w:t xml:space="preserve">（7/29 已收錄）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共識（未列評等）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1,900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1,805 元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本欄為對照用，落在本次區間內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註：原文未逐一列出 15 家機構名稱與各自目標價，僅給區間；副標掛「國泰綜合證券」屬權證專欄發行商掛名，是否即出具評等之機構，原文未明確連結，待確認。本次區間 1,750～2,000 元與 7/29 FactSet 共識 1,900 元一致，顯示市場預期尚未進一步上修。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・市場共識度極高：15 家投顧與外資券商均給予買進評等，這在追蹤名單中相當罕見，代表分歧主要在幅度而非方向。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・成長動能一：看好市占率擴大、新產品上市，未來營運展望良好。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・成長動能二：2027 年在中國政策刺激下營運仍在成長軌道，線軌市場將回溫。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・成長動能三：半導體類氣動元件 Q4 新規格上市，2027 年下半年將有明顯營收貢獻。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・結構性利多：氣動元件產業景氣循環延長與中國在地化採購趨勢，市占率有望續增。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・實績與展望：Q2 EPS 16.55 元、符合預期；全年營收成長率有望達 20% 以上；預計年底稼動率可達五成。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・年底稼動率僅估五成，代表產能利用率仍有大幅空間未填滿，營運槓桿尚未完全發揮，也意味需求仍未全面回升。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・半導體類氣動元件新規格要到 2027 年下半年才有明顯營收貢獻，時間落差長達一年以上。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・2027 年成長高度依賴「中國政策刺激」，屬政策變數，能見度低。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・15 家機構名稱與各自目標價均未揭露，1,750～2,000 元區間的分布與中位數無法判斷。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・Q2 EPS 16.55 元僅「符合預期」，未見超預期驚喜；8/1 已收錄之大型本國投顧調升目標價一則亦未揭露數字。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8/6｜亞德客 獲法人點讚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https://www.ctee.com.tw/news/20260806700292-430203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