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京元電子（2449）券商觀點摘要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09　盤後場次　｜　資料來源：FTNN 新聞網（引述 FactSet 分析師共識）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產業分類：半導體－封測（測試）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400"/>
        <w:gridCol w:w="1300"/>
        <w:gridCol w:w="400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券商／來源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屬性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FactSet 彙整（15 位分析師）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共識：14 樂觀／1 中立／0 悲觀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348 元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前值 361.9 元，下修 3.84%；最高估值 390.48 元、最低 300 元</w:t>
            </w:r>
          </w:p>
        </w:tc>
      </w:tr>
    </w:tbl>
    <w:p>
      <w:pPr>
        <w:spacing w:after="80"/>
        <w:jc w:val="left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對照項目</w:t>
            </w:r>
          </w:p>
        </w:tc>
        <w:tc>
          <w:tcPr>
            <w:tcW w:type="dxa" w:w="7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相對現價空間</w:t>
            </w:r>
          </w:p>
        </w:tc>
        <w:tc>
          <w:tcPr>
            <w:tcW w:type="dxa" w:w="7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8/7 收盤 242.0 元（跌 7.00 元、-2.81%），348 元隱含空間約 +43.8%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前次收錄紀錄</w:t>
            </w:r>
          </w:p>
        </w:tc>
        <w:tc>
          <w:tcPr>
            <w:tcW w:type="dxa" w:w="7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2026/07/28 FactSet 彙整（13 位分析師）目標價 361.9 元，當時 2026 年 EPS 中位數由 9.17 元下修至 9.09 元，2027／2028 年估 14.29／20.13 元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本次變化</w:t>
            </w:r>
          </w:p>
        </w:tc>
        <w:tc>
          <w:tcPr>
            <w:tcW w:type="dxa" w:w="7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分析師人數由 13 位增至 15 位，共識目標價由 361.9 元降至 348 元；評等分布仍高度偏多（無悲觀）</w:t>
            </w:r>
          </w:p>
        </w:tc>
      </w:tr>
    </w:tbl>
    <w:p>
      <w:pPr>
        <w:spacing w:after="80"/>
        <w:jc w:val="left"/>
      </w:pP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・營運數字全面走高：Q2 營收 111.42 億元，季增 9.3%、年增 33.2%，毛利率 39.5%，歸屬母公司稅後純益 24.92 億元為歷年同期新高，單季 EPS 2.04 元；上半年累計營收 213.33 億元，年增 36.1%，EPS 3.91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・7 月營收 39.9 億元，月增 10.19%、年增 36.75%，創下單月新高；1–7 月累計 253.24 億元，年增 36.18%，同為同期新高。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・產能是瓶頸而非需求：公司表示美系 GPU 客戶需求維持高檔、ASIC 相關訂單陸續銜接，須一邊擴充既有產能、一邊追求新產能，才能滿足手上訂單與客戶驗證需求。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・資本支出二度上調：由原本 393.72 億元提高至 500 億元，寫下歷史新高。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・海外布局：董事會通過赴美投資設廠案，將設立孫公司並興建新廠，為近年規模最大的海外投資案。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・訊號矛盾：這是一則「基本面全面創高、共識目標價卻下修」的組合。營收與獲利連續刷新紀錄，但 15 位分析師的中位數目標價反而由 361.9 元降至 348 元，代表市場下修的是願意給的評價倍數，而非公司營運本身——與 8/7 已收錄的評價收斂訊號一致。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・本則為分析師共識彙整，非任何單一券商的個股報告：無評等文字、無 EPS 假設、無本益比倍數揭露，無法交叉檢驗推導過程。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・估值分歧偏大：最高 390.48 元與最低 300 元相差 30.2%，中位數的代表性有限。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・赴美設廠金額待確認：原文標題寫「狠砸 14 億元赴美擴產」，內文則寫「將在 14 億美元額度內設立孫公司」，兩者幣別不一致，本摘要標記「待確認」，不採用單一數字。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・折舊與回收期：資本支出由 393.72 億元跳升至 500 億元創新高，加上美國新廠，短期先增折舊、產能貢獻遞延，須觀察 2027 年先進測試新產能量產後的攤提壓力。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・股價已先反應：8/7 收 242.0 元，本益比約 32.8 倍（同業平均約 51.0 倍），且當日結束連 5 漲翻跌 2.81%。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・FTNN 新聞網 2026/08/09 15:35「外資目標價看348元！『這封測大廠』第二季營收突破百億元 狠砸14億元赴美擴產」 — https://www.ftnn.com.tw/news/568426</w:t>
      </w:r>
    </w:p>
    <w:p>
      <w:pPr>
        <w:spacing w:after="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・收盤價查核：Yahoo 股市 京元電子 2449（2026/08/07 收盤）— https://tw.stock.yahoo.com/quote/2449.TW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17"/>
          <w:szCs w:val="17"/>
        </w:rPr>
        <w:t xml:space="preserve">・前次紀錄對照：2026/07/28 早盤場次個股摘要（FactSet 彙整，361.9 元）</w:t>
      </w:r>
    </w:p>
    <w:p>
      <w:pPr>
        <w:spacing w:after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0404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