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京元電子（2449）券商觀點摘要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大型民營金控旗下投顧（原文未具名）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大型民營金控旗下投顧（原文未具名）（內資）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京元電子（2449）　半導體－IC 測試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原文未明示評等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380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對照 FactSet 8/10 共識 348 元高約 9.2％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目標價 380 元；預估 2026／2027 年 EPS 各 10.4 元／15.2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今年 AI 營收占比逾 70％；資本支出二度上調，由 393.72 億元提高至 500 億元（+27％），為歷史新高。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Google TPU（v7p、v8x FT）訂單優於預期。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・原文自載：輝達 Rubin GPU 傳降規遞延，京元電首批 Rubin 遞延出貨，Q3 營運遭市場下修（預估 Q4 恢復成長）——此為本則最重要的負面訊息，與 380 元目標價方向相反。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・未給投資評等文字，未揭露目標價前值與本益比。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・券商未具名，未載報告出具日期。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・資本支出一年內二度上調 27％ 至 500 億元，折舊壓力與產能去化風險原文未量化。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・既有序列對照：FactSet 2026/08/10 共識 348 元，本則 380 元高出 9.2％，差異來源未說明。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05:29 https://wantrich.chinatimes.com/news/20260812900005-420101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2026/08/11 03:00 https://www.ctee.com.tw/news/20260811700266-430203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