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京鼎（3413）券商觀點摘要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本土投顧（未具名）　內資　｜　2026/09/14 早盤場次　｜　產業：半導體－設備製造服務／零組件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36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券商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本土投顧（★工商時報未具名）— 內資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報告日期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2026/09/14 見報（工商時報權證版 03:00）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投資評等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買進（★原文未載為新評／維持）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目標價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★原文未載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8 月營收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22.49 億元，月增 4.02%、年增 23.54%，歷年同期新高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訂單能見度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9～12 個月，設備需求動能延續至 2027 年</w:t>
            </w:r>
          </w:p>
        </w:tc>
      </w:tr>
      <w:t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本則性質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新增；系統既有紀錄為 07/20 龍頭投顧摘要</w:t>
            </w:r>
          </w:p>
        </w:tc>
      </w:tr>
    </w:tbl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二、論點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製造服務受惠下游客戶對設備需求增加而成長；自主開發微污染防治設備完成客戶驗收、貢獻顯著提升；維修服務少了 6 月認列的航太專案下滑。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毛利率回穩：檢測設備交易模式調整，以及泰國春武里廠量產後規模效應放大，毛利率將改善；預期第三季營收正成長、後續逐季攀升。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泰國二期：8 月初通過資本支出預算 2.34 億美元，下半年土建發包與採購；泰國廠占集團總產能比例 Q4 提升至 20%，設備自 2027 下半年移入既有廠房、無須重新驗證，長期占製造服務產能 50%，成為台灣以外第二大基地。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AI 與 HPC 持續擴張帶動先進邏輯、記憶體與先進封裝投資，設備訂單需求強勁，故給予買進評等。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★原文未揭露目標價與 EPS 預估，評價依據待確認。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主要客戶（半導體設備大廠）資本支出節奏與下游晶圓廠擴產時程若延後，將直接影響製造服務出貨。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泰國廠爬坡與人力成本、匯率變動對毛利率之影響；航太專案等非核心業務波動。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・京鼎、弘塑營收按讚 法人挺（工商時報 2026/09/14 03:00）　https://www.ctee.com.tw/news/20260914700221-430203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 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本摘要依公開新聞整理，非完整報告；數字以原文為準，標「★待確認」者請以券商原始報告核對。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7F7F7F"/>
          <w:sz w:val="18"/>
          <w:szCs w:val="18"/>
        </w:rPr>
        <w:t xml:space="preserve">整理：旺來 wowwow31001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2026-09-14T00:16:22.280Z</dcterms:created>
  <dcterms:modified xsi:type="dcterms:W3CDTF">2026-09-14T00:16:22.280Z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