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0"/>
        </w:rPr>
        <w:t>仁寶（2324）｜本土大型券商（未具名）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sz w:val="18"/>
        </w:rPr>
        <w:t>見報 2026/08/19 21:09　工商時報轉載中時新聞網　記者吳美觀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81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7257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本土大型券商（原文未具名）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內／外資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內資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產業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電子代工－ODM／PC 代工／AI 伺服器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投資評等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買進（★由「持有」調升）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55 元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前次目標價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35 元（調升幅度 ＋57%）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EPS 預估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2026 年 1.93 元；2027 年 3.66 元（年成長 89.1%）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隱含本益比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以 55 元對 2027 年 EPS 3.66 元約 15.0 倍（本系統回算；原文未載評價年度與目標本益比）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對照：FactSet 外資共識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40 元（評等日 20260817）；35.75 元、符合市場（評等日 20260814，前值 31 元）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本土 vs 外資共識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8"/>
              </w:rPr>
              <w:t>本次 55 元較 08/17 外資共識 40 元高 37.5%（本系統回算）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二、投資論點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★ 核心論點是「轉型」而非「當期獲利」：該券商認為仁寶正逐步由傳統 PC 代工廠轉型為 AI 伺服器成長股，因此同步調升評等與目標價。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1. 觸發事件為 Google 新一代 TPU 供應鏈話題升溫。該券商指出，仁寶「極具潛力」爭取美系雲端服務供應商（CSP）的 ASIC L11 組裝訂單，初期出貨比重預估約 10%。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2. Q2 實績優於預期：營收 2,383 億元，季增 18%、年增 32%，EPS 0.72 元。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3. 7 月合併營收 810.06 億元，因季底出貨高峰結束較上月減 15.49%，但年增 38.26%，創歷年同期新高；累計前 7 月 5,206.04 億元，年增 18.82%。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4. ★ 伺服器營收預估為整套論述的核心：2026 年約 900 億元（年增 108%），2027 年跳升至 2,888 億元（年增高達 221%）。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5. 該券商同步上修 2027 年獲利預估 59%，EPS 由 2026 年 1.93 元提高至 2027 年 3.66 元。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6. 資本支出今年提高至 180 億元，美國及台灣新廠預計年底完工，為承接訂單的產能準備。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三、風險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★ 最大風險是論述支點尚未成立：原文明言「潛在訂單可能在未來數周進一步確認」，代表 ASIC L11 訂單目前只是「極具潛力爭取」而非已取得。建議把「美系 CSP 的 ASIC L11 訂單是否確認」列為單一關鍵追蹤指標。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★ 毛利率方向與目標價方向相反：Q2 毛利率降至 4.6%，該券商自估 Q3 仍有進一步下滑壓力、可能降至 4.4%，主因記憶體等零組件價格上漲壓縮 PC 與 NB 產品獲利空間。這是一個「上調目標價的同時下調近期毛利率」的組合。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★ 2027 年伺服器營收由 900 億元跳至 2,888 億元（＋221%）屬極高成長假設，原文未提供訂單能見度、客戶名單或分季路徑，也未做情境試算；若 L11 訂單未落地，整條營收曲線需重估。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★ 評價倍數風險：以 55 元對 2027 年 EPS 3.66 元約 15.0 倍，對一家毛利率僅 4.4～4.6% 的代工廠而言屬偏高，且原文未揭露目標本益比與評價年度，55 元無法回算驗證。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記憶體漲價對仁寶是純成本端逆風（與同期記憶體通路商大聯大受惠方向相反），原文未做零組件價格敏感度分析。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券商未具名、未載報告出具日期；本則為中時新聞網轉述而非報告原文，原文並附有免責聲明。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1"/>
        </w:rPr>
        <w:t>‧ 對照面提醒：外資共識 08/17 僅 40 元且 08/14 評等為「符合市場」，內資此次 55 元與外資共識存在 37.5% 落差，兩者尚未收斂。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‧ 老牌代工廠搶進AI供應鏈 法人喊買、目標價增5成（工商時報／中時新聞網 2026/08/19 21:09）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 xml:space="preserve">   https://www.ctee.com.tw/news/20260819701917-430201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‧ 鉅亨網外資評等表 ratediff（FactSet 共識對照）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1F4E79"/>
          <w:sz w:val="16"/>
        </w:rPr>
        <w:t xml:space="preserve">   https://www.cnyes.com/twstock/board/ratediff.aspx?gt=qfii&amp;gp=rate</w:t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sz w:val="16"/>
        </w:rPr>
      </w:r>
    </w:p>
    <w:p>
      <w:pPr>
        <w:spacing w:after="0" w:before="0"/>
        <w:jc w:val="center"/>
      </w:pPr>
      <w:r>
        <w:rPr>
          <w:rFonts w:ascii="Microsoft JhengHei" w:hAnsi="Microsoft JhengHei" w:eastAsia="Microsoft JhengHei"/>
          <w:b w:val="0"/>
          <w:color w:val="808080"/>
          <w:sz w:val="16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