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65C"/>
          <w:sz w:val="32"/>
        </w:rPr>
        <w:t>信邦 (3023)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95959"/>
          <w:sz w:val="19"/>
        </w:rPr>
        <w:t>凱基投顧／「法人」（★歸屬含糊・內資）　｜　電子零組件－連接器／線束（實體 AI・人形機器人・低軌衛星）　｜　2026/09/08 早盤場次　｜　旺來研究報告系統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color w:val="1F365C"/>
          <w:sz w:val="23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1927"/>
        <w:gridCol w:w="7824"/>
      </w:tblGrid>
      <w:tr>
        <w:tc>
          <w:tcPr>
            <w:tcW w:type="dxa" w:w="1928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82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報告日期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2026/09/08 見報（工商時報 03:00）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凱基投顧（持續看好）／另有未具名「法人」　★398 元究竟出自何者，原文寫得含糊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買進　★未載係新評或維持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398 元／前值 ★未載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09/07 收盤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339.5 元，-0.5（-0.15%），成交 1,465 張（來源 Goodinfo）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上漲空間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+17.2%（本系統以 09/07 收 339.5 元回算）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營收目標（管理層重申）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2026 年 360-365 億元｜2027 年 410-420 億元｜2028 年 500 億元以上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隱含成長率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2025-2028 年營收 CAGR 約 17%（原文載明）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EPS 預估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★原文未載，無法回算本益比</w:t>
            </w:r>
          </w:p>
        </w:tc>
      </w:tr>
    </w:tbl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二、投資論點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管理層重申三年營收目標 360-365／410-420／500 億元以上，隱含 2025-2028 年營收 CAGR 達 17% — 對一家連接器廠而言，這是明確且不算保守的中期指引。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人形機器人為核心題材：信邦目前與五家美國人形機器人新創客戶合作，進度符合預期。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客戶端出貨目標：2026 年 1 萬台、2027 年 2 萬台、2028 年 20 萬台 — 2028 年的十倍跳升是整個估值故事的核心假設。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但貢獻節奏務實：人形機器人業務預估僅占 2027 年營收 1%、2028 年營收 6%。券商並未把機器人當成近期獲利來源，而是長期選擇權。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其他新興應用：無人機、低軌衛星、AI 資料中心均在初期階段，為更長線的成長動能。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三、風險與資料缺口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★398 元的機構歸屬不明：原文在「凱基投顧」與另一家未具名「法人」之間交代含糊，無法確認目標價出自何者，引用時需保留。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★原文未給 EPS 預估與評價基準（PE 倍數／基準年度），398 元無法用獲利回推驗證合理性。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★未載前次目標價與評等日期，無從判斷本次是上調或維持。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客戶出貨目標是「客戶的目標」而非信邦的訂單：2028 年 20 萬台係新創客戶自身規劃，人形機器人產業尚無任何一家達成萬台級量產，此假設的達成風險極高。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五家客戶皆為美國「新創」，融資能力、量產能力與存活率均為變數；連接器供應商在客戶未量產前，投入的工程資源難以回收。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新興應用（無人機／低軌衛星／AI DC）原文明言「仍在初期」，短期不具營收貢獻，卻已反映在股價與評價中。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本業檢視：信邦 09/07 成交僅 1,465 張、股價 -0.15%，流動性與動能均遠低於同日的 AI 主流股，題材熱度與股價表現存在落差。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★09/07 收盤價原文未載，本摘要之收盤價與上漲空間係由 Goodinfo 補齊後自行回算。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四、來源連結</w:t>
      </w:r>
    </w:p>
    <w:p>
      <w:pPr>
        <w:spacing w:after="20" w:line="269" w:lineRule="auto"/>
        <w:ind w:left="113"/>
      </w:pPr>
      <w:r>
        <w:rPr>
          <w:rFonts w:ascii="Microsoft JhengHei" w:hAnsi="Microsoft JhengHei" w:eastAsia="Microsoft JhengHei"/>
          <w:b w:val="0"/>
          <w:sz w:val="17"/>
        </w:rPr>
        <w:t>・工商時報｜緯創、信邦　https://www.ctee.com.tw/news/20260908700273-439901</w:t>
      </w:r>
    </w:p>
    <w:p>
      <w:pPr>
        <w:spacing w:after="20" w:line="269" w:lineRule="auto"/>
        <w:ind w:left="113"/>
      </w:pPr>
      <w:r>
        <w:rPr>
          <w:rFonts w:ascii="Microsoft JhengHei" w:hAnsi="Microsoft JhengHei" w:eastAsia="Microsoft JhengHei"/>
          <w:b w:val="0"/>
          <w:sz w:val="17"/>
        </w:rPr>
        <w:t>・Goodinfo｜信邦 3023 日 K 線　https://goodinfo.tw/tw/ShowK_Chart.asp?STOCK_ID=3023&amp;CHT_CAT=DATE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sz w:val="14"/>
        </w:rPr>
        <w:t xml:space="preserve">　</w:t>
      </w:r>
    </w:p>
    <w:p>
      <w:pPr>
        <w:spacing w:after="40"/>
        <w:pBdr>
          <w:bottom w:val="single" w:sz="6" w:space="1" w:color="B8C4D9"/>
        </w:pBdr>
      </w:pP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color w:val="595959"/>
          <w:sz w:val="17"/>
        </w:rPr>
        <w:t>本摘要依公開新聞整理，非完整報告。標示「★」處為原文未揭露之資料缺口；標示「本系統回算」之數字為本系統自行推算，非券商原文載明。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