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2"/>
          <w:szCs w:val="32"/>
        </w:rPr>
        <w:t xml:space="preserve">信驊（5274）券商觀點摘要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2026-07-19（經濟日報 7/19 21:52 報導；2026-07-21 早盤補收錄）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大和資本（Daiwa Capital Markets，外資）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「台灣資料中心硬體」產業報告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半導體-IC 設計（伺服器遠端管理晶片 BMC）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20,220 元（維持，未調整）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大和「台灣資料中心硬體」報告持續看多信驊，維持買進與原目標價，屬看多組合成員（首選為南電）。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BMC 為伺服器標配晶片，AI／通用伺服器建置量成長下出貨動能延續；報告指長期投資人對 CPU 相關股票仍保持正面看法。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整體 AI 支出可能持續增加、伺服器規格升級周期持續看多，為信驊長線需求支撐。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報告明示：CPU 伺服器出貨量今年可能因零組件缺貨面臨一定風險，恐影響 BMC 出貨節奏。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萬元高價股評價敏感，AI 族群籌碼面修正時波動放大。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非漲價受惠者—報告認為漲價驅動獲利上修動能優於規格升級型公司，信驊上修空間相對較小。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80"/>
      </w:pPr>
      <w:hyperlink w:history="1" r:id="rIdxunagmxyzlajh_muphw9l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大和：資料中心硬體受惠短缺題材看好五檔台股 南電目標價上調近70%（經濟日報 2026-07-19）</w:t>
        </w:r>
      </w:hyperlink>
    </w:p>
    <w:p>
      <w:pPr>
        <w:spacing w:befor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nagmxyzlajh_muphw9l" Type="http://schemas.openxmlformats.org/officeDocument/2006/relationships/hyperlink" Target="https://udn.com/news/story/7251/963775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2026-07-21T00:18:04.536Z</dcterms:created>
  <dcterms:modified xsi:type="dcterms:W3CDTF">2026-07-21T00:18:04.536Z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