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Microsoft JhengHei" w:hAnsi="Microsoft JhengHei" w:eastAsia="Microsoft JhengHei" w:cs="Microsoft JhengHei"/>
          <w:b/>
          <w:color w:val="1F3864"/>
          <w:sz w:val="34"/>
        </w:rPr>
        <w:t>信驊（5274）｜高盛第四度上修目標價至 22,000 元</w:t>
      </w:r>
    </w:p>
    <w:p>
      <w:pPr>
        <w:spacing w:before="0" w:after="16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20"/>
        </w:rPr>
        <w:t>2026/07/31 盤後場次（報告日 7/30 補收錄）　｜　產業：半導體－IC 設計（BMC）　｜　主報告：高盛</w:t>
      </w:r>
    </w:p>
    <w:p>
      <w:pPr>
        <w:spacing w:before="240" w:after="80" w:line="276" w:lineRule="auto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41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券商</w:t>
            </w:r>
          </w:p>
        </w:tc>
        <w:tc>
          <w:tcPr>
            <w:tcW w:type="dxa" w:w="1701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評等</w:t>
            </w:r>
          </w:p>
        </w:tc>
        <w:tc>
          <w:tcPr>
            <w:tcW w:type="dxa" w:w="1928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目標價（新／舊）</w:t>
            </w:r>
          </w:p>
        </w:tc>
        <w:tc>
          <w:tcPr>
            <w:tcW w:type="dxa" w:w="1247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調整</w:t>
            </w:r>
          </w:p>
        </w:tc>
        <w:tc>
          <w:tcPr>
            <w:tcW w:type="dxa" w:w="2835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備註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高盛</w:t>
            </w:r>
          </w:p>
        </w:tc>
        <w:tc>
          <w:tcPr>
            <w:tcW w:type="dxa" w:w="170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買進（重申）</w:t>
            </w:r>
          </w:p>
        </w:tc>
        <w:tc>
          <w:tcPr>
            <w:tcW w:type="dxa" w:w="1928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22,000 ／ 20,000 元</w:t>
            </w:r>
          </w:p>
        </w:tc>
        <w:tc>
          <w:tcPr>
            <w:tcW w:type="dxa" w:w="124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C00000"/>
                <w:sz w:val="19"/>
              </w:rPr>
              <w:t>▲ +10.0%</w:t>
            </w:r>
          </w:p>
        </w:tc>
        <w:tc>
          <w:tcPr>
            <w:tcW w:type="dxa" w:w="2835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今年第四度上修，自 7,300 元起算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花旗（既有）</w:t>
            </w:r>
          </w:p>
        </w:tc>
        <w:tc>
          <w:tcPr>
            <w:tcW w:type="dxa" w:w="170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未揭露</w:t>
            </w:r>
          </w:p>
        </w:tc>
        <w:tc>
          <w:tcPr>
            <w:tcW w:type="dxa" w:w="1928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22,500 元</w:t>
            </w:r>
          </w:p>
        </w:tc>
        <w:tc>
          <w:tcPr>
            <w:tcW w:type="dxa" w:w="124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－ 對照</w:t>
            </w:r>
          </w:p>
        </w:tc>
        <w:tc>
          <w:tcPr>
            <w:tcW w:type="dxa" w:w="2835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市場次高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瑞銀／滙豐（既有）</w:t>
            </w:r>
          </w:p>
        </w:tc>
        <w:tc>
          <w:tcPr>
            <w:tcW w:type="dxa" w:w="170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未揭露</w:t>
            </w:r>
          </w:p>
        </w:tc>
        <w:tc>
          <w:tcPr>
            <w:tcW w:type="dxa" w:w="1928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24,000 元（待確認）</w:t>
            </w:r>
          </w:p>
        </w:tc>
        <w:tc>
          <w:tcPr>
            <w:tcW w:type="dxa" w:w="124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－ 對照</w:t>
            </w:r>
          </w:p>
        </w:tc>
        <w:tc>
          <w:tcPr>
            <w:tcW w:type="dxa" w:w="2835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報導文字誤植，券商歸屬待確認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美系外資（7/23）</w:t>
            </w:r>
          </w:p>
        </w:tc>
        <w:tc>
          <w:tcPr>
            <w:tcW w:type="dxa" w:w="170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優於大盤（重申）</w:t>
            </w:r>
          </w:p>
        </w:tc>
        <w:tc>
          <w:tcPr>
            <w:tcW w:type="dxa" w:w="1928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20,888 元</w:t>
            </w:r>
          </w:p>
        </w:tc>
        <w:tc>
          <w:tcPr>
            <w:tcW w:type="dxa" w:w="124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－ 既有</w:t>
            </w:r>
          </w:p>
        </w:tc>
        <w:tc>
          <w:tcPr>
            <w:tcW w:type="dxa" w:w="2835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前次已收錄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大和資本（7/19）</w:t>
            </w:r>
          </w:p>
        </w:tc>
        <w:tc>
          <w:tcPr>
            <w:tcW w:type="dxa" w:w="170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</w:t>
            </w:r>
          </w:p>
        </w:tc>
        <w:tc>
          <w:tcPr>
            <w:tcW w:type="dxa" w:w="1928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20,220 元</w:t>
            </w:r>
          </w:p>
        </w:tc>
        <w:tc>
          <w:tcPr>
            <w:tcW w:type="dxa" w:w="124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－ 既有</w:t>
            </w:r>
          </w:p>
        </w:tc>
        <w:tc>
          <w:tcPr>
            <w:tcW w:type="dxa" w:w="2835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前次已收錄</w:t>
            </w:r>
          </w:p>
        </w:tc>
      </w:tr>
    </w:tbl>
    <w:p>
      <w:pPr>
        <w:spacing w:before="60" w:after="8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高盛 22,000 元為法人第三高。信驊將於 8/5 舉行法說並公告財報。</w:t>
      </w:r>
    </w:p>
    <w:p>
      <w:pPr>
        <w:spacing w:before="240" w:after="80" w:line="276" w:lineRule="auto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投資論點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Q2 優於預期：營收季增 23%、年增 72%，較高盛預期高出 3%，比公司原預估區間高檔多 8%；毛利率估達 69.6%（Q1 為 69.2%，公司原估 67～68%），主因透過價格調整將較高的載板與封測成本轉嫁客戶。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Q3 動能更強：高盛預期營收季增率擴大至 22%，遠高於原估；受惠載板瓶頸逐步緩解與客戶需求持續強勁，毛利率可維持 69.5% 相近水準。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動能一｜Agentic AI 需求：信驊估 AI 相關一般伺服器 BMC 需求 2026 年 850 萬顆、2027 年增至 1,230 萬顆，高盛認為實際需求可能更高。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動能二｜AI ASIC 部署加速，且美系 AI ASIC 客戶市占率進一步提升。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動能三｜產品組合升級：AST2700 導入率持續上升，預期 2026-2028 年分別占傳統 BMC 出貨量的 5%、22%、38%；AST2700 平均售價較 AST2600 高 50～60%。新產品 AST1840 另具潛在成長動能。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動能四｜供應鏈瓶頸緩解：E-glass 認證接近完成，預期 Q4 引入新的封測合作夥伴。</w:t>
      </w:r>
    </w:p>
    <w:p>
      <w:pPr>
        <w:spacing w:before="240" w:after="80" w:line="276" w:lineRule="auto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風險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目標價一年內自 7,300 元推升至 22,000 元（約 3 倍），評價已高度反映樂觀假設，任何一項動能落後都可能引發快速修正。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毛利率近 70% 建立在成本轉嫁能力上，若載板供給轉鬆、客戶議價力回升，漲價紅利可能反向流失。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AST2700 滲透率假設（2027 年 22%、2028 年 38%）為主要獲利槓桿，導入時程遞延風險需追蹤。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8/5 法說為近期關鍵事件，實績與財測若不及市場已墊高的預期，股價波動將放大。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單一產品線（BMC）集中度高，客戶端自研或第二供應商導入為長期結構性風險。</w:t>
      </w:r>
    </w:p>
    <w:p>
      <w:pPr>
        <w:spacing w:before="240" w:after="80" w:line="276" w:lineRule="auto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來源連結</w:t>
      </w:r>
    </w:p>
    <w:p>
      <w:pPr>
        <w:spacing w:before="0" w:after="40" w:line="276" w:lineRule="auto"/>
        <w:ind w:left="170"/>
      </w:pPr>
      <w:r>
        <w:rPr>
          <w:rFonts w:ascii="Microsoft JhengHei" w:hAnsi="Microsoft JhengHei" w:eastAsia="Microsoft JhengHei" w:cs="Microsoft JhengHei"/>
          <w:b/>
          <w:sz w:val="17"/>
        </w:rPr>
        <w:t>高盛報告｜</w:t>
      </w:r>
      <w:r>
        <w:rPr>
          <w:rFonts w:ascii="Microsoft JhengHei" w:hAnsi="Microsoft JhengHei" w:eastAsia="Microsoft JhengHei" w:cs="Microsoft JhengHei"/>
          <w:b w:val="0"/>
          <w:sz w:val="17"/>
        </w:rPr>
        <w:t xml:space="preserve">經濟日報 信驊目標價 喊22,000（2026/07/30 00:38，記者張瀞文）　</w:t>
      </w:r>
      <w:r>
        <w:rPr>
          <w:rFonts w:ascii="Microsoft JhengHei" w:hAnsi="Microsoft JhengHei" w:eastAsia="Microsoft JhengHei" w:cs="Microsoft JhengHei"/>
          <w:b w:val="0"/>
          <w:color w:val="0B4F9E"/>
          <w:sz w:val="17"/>
        </w:rPr>
        <w:t>https://udn.com/news/story/7252/9659010</w:t>
      </w:r>
    </w:p>
    <w:p>
      <w:pPr>
        <w:spacing w:before="0" w:after="40" w:line="276" w:lineRule="auto"/>
        <w:ind w:left="170"/>
      </w:pPr>
      <w:r>
        <w:rPr>
          <w:rFonts w:ascii="Microsoft JhengHei" w:hAnsi="Microsoft JhengHei" w:eastAsia="Microsoft JhengHei" w:cs="Microsoft JhengHei"/>
          <w:b/>
          <w:sz w:val="17"/>
        </w:rPr>
        <w:t>法人目標價排序｜</w:t>
      </w:r>
      <w:r>
        <w:rPr>
          <w:rFonts w:ascii="Microsoft JhengHei" w:hAnsi="Microsoft JhengHei" w:eastAsia="Microsoft JhengHei" w:cs="Microsoft JhengHei"/>
          <w:b w:val="0"/>
          <w:sz w:val="17"/>
        </w:rPr>
        <w:t xml:space="preserve">CMoney 投資網誌 高盛最新調升信驊目標價至22000元，四度上修　</w:t>
      </w:r>
      <w:r>
        <w:rPr>
          <w:rFonts w:ascii="Microsoft JhengHei" w:hAnsi="Microsoft JhengHei" w:eastAsia="Microsoft JhengHei" w:cs="Microsoft JhengHei"/>
          <w:b w:val="0"/>
          <w:color w:val="0B4F9E"/>
          <w:sz w:val="17"/>
        </w:rPr>
        <w:t>https://cmnews.com.tw/article/newsyoudeservetoknow-4375224b-4957-11f1-bbeb-6971063e1bb9</w:t>
      </w:r>
    </w:p>
    <w:p>
      <w:pPr>
        <w:spacing w:before="0" w:after="40" w:line="276" w:lineRule="auto"/>
        <w:ind w:left="170"/>
      </w:pPr>
      <w:r>
        <w:rPr>
          <w:rFonts w:ascii="Microsoft JhengHei" w:hAnsi="Microsoft JhengHei" w:eastAsia="Microsoft JhengHei" w:cs="Microsoft JhengHei"/>
          <w:b/>
          <w:sz w:val="17"/>
        </w:rPr>
        <w:t>7/31 行情｜</w:t>
      </w:r>
      <w:r>
        <w:rPr>
          <w:rFonts w:ascii="Microsoft JhengHei" w:hAnsi="Microsoft JhengHei" w:eastAsia="Microsoft JhengHei" w:cs="Microsoft JhengHei"/>
          <w:b w:val="0"/>
          <w:sz w:val="17"/>
        </w:rPr>
        <w:t xml:space="preserve">中央社 台股飆3186.45點創史上最大漲點 7月下跌3006點（2026/07/31）　</w:t>
      </w:r>
      <w:r>
        <w:rPr>
          <w:rFonts w:ascii="Microsoft JhengHei" w:hAnsi="Microsoft JhengHei" w:eastAsia="Microsoft JhengHei" w:cs="Microsoft JhengHei"/>
          <w:b w:val="0"/>
          <w:color w:val="0B4F9E"/>
          <w:sz w:val="17"/>
        </w:rPr>
        <w:t>https://www.cna.com.tw/news/afe/202607310157.aspx</w:t>
      </w:r>
    </w:p>
    <w:p>
      <w:pPr>
        <w:spacing w:before="200" w:after="8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