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rPr>
          <w:rFonts w:ascii="Microsoft JhengHei" w:cs="Microsoft JhengHei" w:eastAsia="Microsoft JhengHei" w:hAnsi="Microsoft JhengHei"/>
        </w:rPr>
        <w:t xml:space="preserve">信驊(5274) 券商觀點摘要</w:t>
      </w:r>
    </w:p>
    <w:p>
      <w:pPr>
        <w:pStyle w:val="Sub2"/>
      </w:pPr>
      <w:r>
        <w:rPr>
          <w:rFonts w:ascii="Microsoft JhengHei" w:cs="Microsoft JhengHei" w:eastAsia="Microsoft JhengHei" w:hAnsi="Microsoft JhengHei"/>
        </w:rPr>
        <w:t xml:space="preserve">2026-08-06　盤後場次　半導體 — IC設計（BMC 基板管理控制器）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報告日期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2026-08-06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券商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 家美系外資（均未具名）（外資）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個股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信驊(5274)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產業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半導體 — IC設計（BMC 基板管理控制器）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評等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F3D"/>
                <w:sz w:val="20"/>
                <w:szCs w:val="20"/>
              </w:rPr>
              <w:t xml:space="preserve">買進（雙雙維持）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20,455 元／20,888 元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目標價（前值）</w:t>
            </w:r>
          </w:p>
        </w:tc>
        <w:tc>
          <w:tcPr>
            <w:tcW w:type="dxa" w:w="7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均未揭露前值</w:t>
            </w:r>
          </w:p>
        </w:tc>
      </w:tr>
    </w:tbl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論點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兩家美系外資同步維持買進，目標價分別 20,455 元與 20,888 元，落差僅 2.1%，共識度高。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成長動能三支柱（外資 A）：AI 資料中心及 AI 相關通用伺服器的 BMC 需求增強、美國大型 AI 客戶加速部署 AI ASIC、新一代 AST2700 滲透率持續提升。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AST2700 為關鍵放量指標：管理階層預估出貨量將由 2026 年的 120～150 萬顆，大幅增加至 2027 年的 1,000 萬顆 — 約 7～8 倍增幅，為未來兩年主要成長引擎。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定價能力獲驗證：Q2 毛利率達 72%，明顯優於公司原估的 67%～68%，主因順利將載板及封測成本上升轉嫁客戶；季增 2.8 個百分點，較外資預估及市場共識分別高 3.5、3.4 個百分點，並反映 4 月漲價效益。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Q3 有望優於公司財測：外資 A 認為在客戶需求強勁下，Q3 營收有機會優於公司原估的 41～43 億元，毛利率可望維持穩定。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供應瓶頸緩解：E-glass 材料驗證已完成，後段封測產能支援亦可望增加，有助提升整體供貨能力，是外資看好未來兩年 BMC 出貨量及營收仍有上修空間的主因。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▪  </w:t>
      </w:r>
      <w:r>
        <w:rPr>
          <w:rFonts w:ascii="Microsoft JhengHei" w:cs="Microsoft JhengHei" w:eastAsia="Microsoft JhengHei" w:hAnsi="Microsoft JhengHei"/>
        </w:rPr>
        <w:t xml:space="preserve">財報與月營收（外資 B）：Q2 EPS 40.87 元，季增 9%、年增 146%，較該外資預估高 10%；單季營收季增 23%、年增 72%，較市場共識高 3%。7 月營收 15.24 億元，月增 16%、年增 98%；預期隨載板供應支援增加，8、9 月營收有望進一步高於 7 月。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風險與觀察重點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兩家目標價（20,455／20,888 元）均低於 7/30 已收錄高盛的 22,000 元，且 20,888 元與 7/23 已收錄某美系外資的數字完全相同 — 是否為同一家重申、抑或不同機構巧合同值，本則未載明，待確認。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兩家均未揭露前次目標價，無法判斷本次為上修、下修或維持，外資態度的邊際變化無從觀察。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AST2700 由 120～150 萬顆躍升至 1,000 萬顆的預估來自公司管理階層，非外資獨立估算，達成率需以季度出貨實績驗證。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72% 的毛利率已屬歷史高檔，仰賴漲價轉嫁；若載板與封測成本再漲而客戶抗價，毛利率下行風險大於上行空間。</w:t>
      </w:r>
    </w:p>
    <w:p>
      <w:pPr>
        <w:spacing w:after="100" w:line="30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C00000"/>
        </w:rPr>
        <w:t xml:space="preserve">!  </w:t>
      </w:r>
      <w:r>
        <w:rPr>
          <w:rFonts w:ascii="Microsoft JhengHei" w:cs="Microsoft JhengHei" w:eastAsia="Microsoft JhengHei" w:hAnsi="Microsoft JhengHei"/>
        </w:rPr>
        <w:t xml:space="preserve">股價位居股王，評價對成長率假設極度敏感，AST2700 放量時程若遞延，修正幅度可能顯著。</w:t>
      </w:r>
    </w:p>
    <w:p>
      <w:pPr>
        <w:pStyle w:val="H1x"/>
      </w:pPr>
      <w:r>
        <w:rPr>
          <w:rFonts w:ascii="Microsoft JhengHei" w:cs="Microsoft JhengHei" w:eastAsia="Microsoft JhengHei" w:hAnsi="Microsoft JhengHei"/>
        </w:rPr>
        <w:t xml:space="preserve">來源連結</w:t>
      </w:r>
    </w:p>
    <w:p>
      <w:pPr>
        <w:spacing w:after="60"/>
        <w:ind w:left="300" w:hanging="200"/>
      </w:pPr>
      <w:r>
        <w:rPr>
          <w:rFonts w:ascii="Microsoft JhengHei" w:cs="Microsoft JhengHei" w:eastAsia="Microsoft JhengHei" w:hAnsi="Microsoft JhengHei"/>
          <w:b/>
          <w:bCs/>
          <w:color w:val="2E74B5"/>
        </w:rPr>
        <w:t xml:space="preserve">• </w:t>
      </w:r>
      <w:hyperlink w:history="1" r:id="rIdx5eq8r-j4kipq5wj-grwn">
        <w:r>
          <w:rPr>
            <w:rFonts w:ascii="Microsoft JhengHei" w:cs="Microsoft JhengHei" w:eastAsia="Microsoft JhengHei" w:hAnsi="Microsoft JhengHei"/>
            <w:color w:val="2E74B5"/>
            <w:sz w:val="19"/>
            <w:szCs w:val="19"/>
            <w:u w:val="single"/>
          </w:rPr>
          <w:t xml:space="preserve">《半導體》股王再添柴火！2外資力挺信驊、目標價衝20888元（工商時報 2026.08.06）</w:t>
        </w:r>
      </w:hyperlink>
    </w:p>
    <w:p>
      <w:pPr>
        <w:pBdr>
          <w:top w:val="single" w:color="BFBFBF" w:sz="6" w:space="6"/>
        </w:pBd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本摘要依公開新聞整理，非完整報告。</w:t>
      </w:r>
    </w:p>
    <w:p>
      <w:pPr>
        <w:jc w:val="right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7"/>
          <w:szCs w:val="17"/>
        </w:rPr>
        <w:t xml:space="preserve">旺來 wowwow31001</w:t>
      </w:r>
    </w:p>
    <w:sectPr>
      <w:headerReference w:type="default" r:id="rId9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80" w:before="0"/>
      <w:jc w:val="center"/>
    </w:pPr>
    <w:rPr>
      <w:rFonts w:ascii="Microsoft JhengHei" w:cs="Microsoft JhengHei" w:eastAsia="Microsoft JhengHei" w:hAnsi="Microsoft JhengHei"/>
      <w:b/>
      <w:bCs/>
      <w:color w:val="1F3864"/>
      <w:sz w:val="36"/>
      <w:szCs w:val="36"/>
    </w:rPr>
  </w:style>
  <w:style w:type="paragraph" w:styleId="Sub2">
    <w:name w:val="Sub2"/>
    <w:basedOn w:val="Normal"/>
    <w:next w:val="Normal"/>
    <w:pPr>
      <w:spacing w:after="240"/>
      <w:jc w:val="center"/>
    </w:pPr>
    <w:rPr>
      <w:rFonts w:ascii="Microsoft JhengHei" w:cs="Microsoft JhengHei" w:eastAsia="Microsoft JhengHei" w:hAnsi="Microsoft JhengHei"/>
      <w:color w:val="595959"/>
      <w:sz w:val="20"/>
      <w:szCs w:val="20"/>
    </w:rPr>
  </w:style>
  <w:style w:type="paragraph" w:styleId="H1x">
    <w:name w:val="H1x"/>
    <w:basedOn w:val="Normal"/>
    <w:next w:val="Normal"/>
    <w:qFormat/>
    <w:pPr>
      <w:shd w:fill="2E74B5" w:color="auto" w:val="clear"/>
      <w:spacing w:after="120" w:before="260"/>
    </w:pPr>
    <w:rPr>
      <w:rFonts w:ascii="Microsoft JhengHei" w:cs="Microsoft JhengHei" w:eastAsia="Microsoft JhengHei" w:hAnsi="Microsoft JhengHei"/>
      <w:b/>
      <w:bCs/>
      <w:color w:val="FFFFFF"/>
      <w:sz w:val="26"/>
      <w:szCs w:val="26"/>
    </w:rPr>
  </w:style>
  <w:style w:type="paragraph" w:styleId="H2x">
    <w:name w:val="H2x"/>
    <w:basedOn w:val="Normal"/>
    <w:next w:val="Normal"/>
    <w:qFormat/>
    <w:pPr>
      <w:pBdr>
        <w:bottom w:val="single" w:color="2E74B5" w:sz="8" w:space="3"/>
      </w:pBdr>
      <w:spacing w:after="100" w:before="200"/>
    </w:pPr>
    <w:rPr>
      <w:rFonts w:ascii="Microsoft JhengHei" w:cs="Microsoft JhengHei" w:eastAsia="Microsoft JhengHei" w:hAnsi="Microsoft JhengHe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5eq8r-j4kipq5wj-grwn" Type="http://schemas.openxmlformats.org/officeDocument/2006/relationships/hyperlink" Target="https://www.ctee.com.tw/news/20260806700695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2026-08-06T11:19:27.719Z</dcterms:created>
  <dcterms:modified xsi:type="dcterms:W3CDTF">2026-08-06T11:19:27.719Z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