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健策(3653)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亞系外資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建議加碼 Overweight（重申）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6,100 元（前值 5,160 元，+18.22%，本系統回算）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2026/08/13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將 2026~2028 年 EPS 預估上調 18%~31%，為本場次單筆 EPS 上修幅度最大者。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上修理由有二：Rubin GPU 產能爬坡力度增強，以及 ASIC 產品利潤率改善。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目標價由 5,160 元上調至 6,100 元，幅度 18.22%，與 EPS 上修幅度（18%~31%）大致同步，代表本次調整為純獲利預估驅動、未再擴張評價倍數。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券商未具名；未載報告出具日期、未揭露 EPS 絕對值與本益比，6,100 元無法回算。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與同日日系外資的 6,770 元差距 11%，兩者對 Rubin 放量節奏的假設應有明顯差異，惟原文均未揭露細節。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EPS 上修區間 18%~31% 跨度極大，代表 2026 與 2028 年的上修力道不同，若逐年拆解可能顯示成長高度集中在後段年度，時間風險較高。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健策營運「錢」景亮 2外資目標價同步看到6,000元以上（工商時報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https://www.ctee.com.tw/news/20260813700811-430201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