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健鼎（3044）券商觀點摘要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FactSet共識(鉅亨網外資評等表)｜2026/08/13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FactSet共識(鉅亨網外資評等表)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PCB 印刷電路板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強力買進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646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617.5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上調 4.61%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共識彙整值，未提供 EPS、本益比或論述內文；現價 485.5 元（該表所載）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FactSet 外資共識評等維持「強力買進」，目標價由 617.5 元上調至 646 元，幅度 4.61%，屬小幅跟進式調整。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646 元對照該表所載現價 485.5 元，隱含空間約 33.1%（本系統回算，非原表數字）。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同窗口花旗（外資）在產業報告中將健鼎與金像電並列為「如果金像電及健鼎能有效降低成本衝擊，則可逢低買進」，語氣屬條件式而非無條件看多，與共識強力買進之間存在溫度差。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資料性質＝鉅亨網「外資評等」統計表，券商欄位一律標示 Factset，為多家外資機構評等的彙整共識值，非單一券商研究報告；評等日 2026/08/12，見報時間不明，本系統以本場次首次觀測到為準納入。前一場次（8/12 盤後）該表最新評等日仍停在 20260811，故本批 7 筆判定為新增。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共識表無論點內文、無 EPS、無本益比，646 元的評價基礎完全無法驗證。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花旗同期明確指出 PCB「因為CCL漲價使毛利率承壓」，成本轉嫁能力為關鍵變數，共識表未反映此風險討論。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共識為多家機構平均，個別機構分歧度無從辨識。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評等日與見報日不同，本系統以觀測日納入，時序上可能落後於實際發布。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鉅亨網 外資評等表（評等日 20260812）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https://www.cnyes.com/twstock/board/ratediff.aspx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經濟日報 8/12 20:17｜花旗產業報告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https://money.udn.com/money/story/5607/9687736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