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健鼎（3044）　FactSet 外資共識摘要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場次：2026/08/21 盤後（窗口 08/21 08:10－19:10）　｜　產業：電子零組件－PCB 印刷電路板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資料來源：鉅亨網 外資評等表（board/ratediff.aspx，針對國外法人 QFII 所發佈個股評等的統計總表）</w:t>
      </w:r>
    </w:p>
    <w:p>
      <w:pPr>
        <w:pStyle w:val="Heading2"/>
      </w:pPr>
      <w: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20260821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FactSet（分析師共識統計，非單一機構報告）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強力買進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新目標價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680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舊目標價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653.5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調整方向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上修 4.06%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表列現價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485.5 元（對應前一交易日收盤）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隱含空間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+40.06%（本系統回算）</w:t>
            </w:r>
          </w:p>
        </w:tc>
      </w:tr>
    </w:tbl>
    <w:p>
      <w:pPr>
        <w:pStyle w:val="Heading2"/>
      </w:pPr>
      <w:r>
        <w:t>二、論點與判讀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★本場次最值得留意的一筆。同一天，經濟日報記者盧宏奇於 08/21 13:49 刊出〈下半年動能佳 法人調高健鼎獲利預估值及目標價〉，標題明寫調高目標價，內文 531 字卻完全沒有任何目標價、評等或 EPS 數字（本系統已多次記錄該系列稿的結構性缺陷）；而 FactSet 共識在同一評等日由 653.5 元上修至 680 元。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★兩者可互相佐證方向一致（都是往上），但★絕不可視為同一份報告。盧宏奇稿的「法人」為未具名大型本國投顧（內資），FactSet 為外資分析師共識，口徑完全不同。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★本表內部不自洽：20260820 該股表列新目標價為 655 元且未載前值，20260821 表列前值卻是 653.5 元。兩日之間出現 1.5 元的落差，代表本表的前值欄與前一日的新目標價欄並非同一組數字，建議日後不要把「前值」當成前一評等日的表列值使用。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以 20260820 的 655 元計，隱含空間為 +34.91%（本系統回算）；一日之內由 655 元跳至 680 元，兩日累計自 653.5 元上修 4.06%。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盧宏奇稿的基本面背景（非本表內容，供併讀）：Q2 毛利率季增 3.5 個百分點至 30.0% 優於預期，伺服器／網通／記憶體模組合計占比由 61.9% 提升至 65.3%；7 月營收 98.2 億元月增 22.7%、年增 56.5%；上半年已分批調漲報價，下半年可望維持 30% 以上毛利率；湖北三廠與越南一廠分別於 2026H2~2027H1 與 2026Q4 開出，以高單價伺服器為主；目標 2026 年底月產值 90 億元以上、2027 年挑戰月均 100 億元。</w:t>
      </w:r>
    </w:p>
    <w:p>
      <w:pPr>
        <w:pStyle w:val="Heading2"/>
      </w:pPr>
      <w:r>
        <w:t>三、風險與資訊缺口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★庫存是被該稿自己點名的逆風：截至 Q2 底庫存淨額約 170 億元，周轉天數 81 日，遠高於以往的 59~60 日，主因客戶端長短料問題與部分產品延後拉貨。共識上修與庫存天數惡化同時發生，本表無法解釋。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★兩個來源都缺數字：盧宏奇稿無目標價，FactSet 無論述。合起來仍然湊不出一份可回算的評價模型。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680 元對表列現價 485.5 元仍有 +40.06% 空間，幅度偏大，須注意表列現價的時點。</w:t>
      </w:r>
    </w:p>
    <w:p>
      <w:pPr>
        <w:pStyle w:val="Heading2"/>
      </w:pPr>
      <w:r>
        <w:t>四、來源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鉅亨網 外資評等表：https://www.cnyes.com/twstock/board/ratediff.aspx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工商時報 即時證券：https://www.ctee.com.tw/livenews/stock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80"/>
      </w:pPr>
      <w:r>
        <w:rPr>
          <w:rFonts w:ascii="Microsoft JhengHei" w:hAnsi="Microsoft JhengHei" w:eastAsia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1F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