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儒鴻（1476）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產業：紡織纖維－機能布／成衣代工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20260819（★08/19 盤後場次遺漏之補收錄）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425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本表未載前值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無法判斷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317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+34.07%（本系統回算）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★本筆為 08/19 盤後場次遺漏之補收錄，且是本場次分歧最大的個股。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★三方觀點並列：(1) 美系外資 08/19 維持 460 元；(2) 日系外資 08/19 由 560 元下修 17.86% 至 460 元，成長率由 15% 降級至 8.9%、評價倍數由 22 倍降至 18 倍；(3) FactSet 共識 08/19 給 425 元，★較兩家外資的 460 元低 7.61%（本系統回算）；(4) 瑞銀證券 08/20 具名喊「買」並強調下半年營收年增率將由上半年的 3% 加速至 13%，★但無目標價。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★四天之內、四個來源、四種敘事，而且共識是四者中最保守的。當共識低於所有可查的具名券商目標價時，通常代表共識樣本中存在本系統未收錄的更保守機構。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隱含空間 +34.07%（本系統回算）。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既有基本面（本系統既有紀錄，非本表內容）：儒鴻 Q2 淨利年增 158%；瑞銀稱訂單能見度維持約六個月。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 08/20 場次已把「儒鴻下半年月營收年增率是否真達 13%」列為單一關鍵驗證指標，本筆不改變這個判斷，只是再增加一個更保守的數據點。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★瑞銀的 13% 與日系外資的 8.9% 相差近半，而共識 425 元隱含的是偏保守情境。在月營收數據出來之前，這三種敘事無法裁決。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★關稅與美國通膨為紡織外銷族群的共同下行風險（08/19 日系外資已明確點名），本表未討論。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★評等欄為空且未載前值，無法判斷是下修或首次納入。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