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30"/>
          <w:szCs w:val="30"/>
        </w:rPr>
        <w:t xml:space="preserve">光寶科(2301) 個股摘要　FactSet 分析師共識</w:t>
      </w:r>
    </w:p>
    <w:p>
      <w:pPr>
        <w:spacing w:after="1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資料日期：2026/08/01（鉅亨速報 10:10 發布）　｜　產業：電源／電力電子（AI 資料中心電源、儲能）　｜　整理：2026/08/02 盤後場次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一、評等／目標價摘要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446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44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來源／機構</w:t>
            </w:r>
          </w:p>
        </w:tc>
        <w:tc>
          <w:tcPr>
            <w:tcW w:type="dxa" w:w="7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FactSet 分析師共識彙整（共 11 位分析師），非單一券商正式報告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評等分佈</w:t>
            </w:r>
          </w:p>
        </w:tc>
        <w:tc>
          <w:tcPr>
            <w:tcW w:type="dxa" w:w="7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積極樂觀 7 位　保持中立 5 位　保守悲觀 0 位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（原文分佈合計 12 位、與 11 位分析師不符，判讀待確認）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目標價（新）</w:t>
            </w:r>
          </w:p>
        </w:tc>
        <w:tc>
          <w:tcPr>
            <w:tcW w:type="dxa" w:w="7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中位數 250 元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目標價（前值）</w:t>
            </w:r>
          </w:p>
        </w:tc>
        <w:tc>
          <w:tcPr>
            <w:tcW w:type="dxa" w:w="7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239 元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調升幅度</w:t>
            </w:r>
          </w:p>
        </w:tc>
        <w:tc>
          <w:tcPr>
            <w:tcW w:type="dxa" w:w="7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+4.6%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估值區間</w:t>
            </w:r>
          </w:p>
        </w:tc>
        <w:tc>
          <w:tcPr>
            <w:tcW w:type="dxa" w:w="7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最高 300 元／最低 176 元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收盤價</w:t>
            </w:r>
          </w:p>
        </w:tc>
        <w:tc>
          <w:tcPr>
            <w:tcW w:type="dxa" w:w="7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209 元（2026/07/31，當日漲停 +10.0%）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潛在上檔</w:t>
            </w:r>
          </w:p>
        </w:tc>
        <w:tc>
          <w:tcPr>
            <w:tcW w:type="dxa" w:w="7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約 +19.6%（以 250 元對 209 元計）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同業對照</w:t>
            </w:r>
          </w:p>
        </w:tc>
        <w:tc>
          <w:tcPr>
            <w:tcW w:type="dxa" w:w="7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7/28 法人 280 元（買進，維持）｜7/17 凱基投顧 275 元（增持）｜7/17 統一投顧 240 元（買進）— 共識 250 元位於區間中段</w:t>
            </w:r>
          </w:p>
        </w:tc>
      </w:tr>
    </w:tbl>
    <w:p>
      <w:pPr>
        <w:spacing w:after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二、論點</w:t>
      </w:r>
    </w:p>
    <w:p>
      <w:pPr>
        <w:spacing w:after="90"/>
        <w:ind w:left="220" w:hanging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19"/>
          <w:szCs w:val="19"/>
        </w:rPr>
        <w:t xml:space="preserve">獲利創高、法說後共識上修：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Q2 稅後純益 71.2 億元、EPS 3.14 元年增 1.26 倍創歷史單季新高，毛利率 27%；上半年稅後純益 109 億元年增 66%、EPS 4.8 元創歷史同期新高。7/31 法說後 FactSet 共識目標價中位數隨即由 239 元上修至 250 元。</w:t>
      </w:r>
    </w:p>
    <w:p>
      <w:pPr>
        <w:spacing w:after="90"/>
        <w:ind w:left="220" w:hanging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19"/>
          <w:szCs w:val="19"/>
        </w:rPr>
        <w:t xml:space="preserve">AI 電源為主成長引擎：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公司指全年 AI 相關營收占比可望突破三成；800V HVDC 產品拚 Q4 出貨；已拿下北美兩大新 CSP 客戶訂單。德州 300 億元建廠布局 AI 電源，市占約 20%（7/17 凱基投顧觀點）。</w:t>
      </w:r>
    </w:p>
    <w:p>
      <w:pPr>
        <w:spacing w:after="90"/>
        <w:ind w:left="220" w:hanging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19"/>
          <w:szCs w:val="19"/>
        </w:rPr>
        <w:t xml:space="preserve">光通訊新布局：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策略投資光通訊元件廠 DenseLight，最快 2027 年下半年開始貢獻營收，為既有電源本業之外的第二成長曲線布局。</w:t>
      </w:r>
    </w:p>
    <w:p>
      <w:pPr>
        <w:spacing w:after="90"/>
        <w:ind w:left="220" w:hanging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19"/>
          <w:szCs w:val="19"/>
        </w:rPr>
        <w:t xml:space="preserve">籌碼面轉強：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7/31 為外資回補超跌股中買超金額最高者（工商時報統計 16 檔名單之首），股價當日攻上漲停重登 200 元關卡。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三、風險與注意事項</w:t>
      </w:r>
    </w:p>
    <w:p>
      <w:pPr>
        <w:spacing w:after="90"/>
        <w:ind w:left="220" w:hanging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19"/>
          <w:szCs w:val="19"/>
        </w:rPr>
        <w:t xml:space="preserve">共識下緣仍低於現價：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FactSet 最低估值 176 元，低於 7/31 收盤 209 元，顯示分析師間分歧仍大；中立評等占 5 位（近半數）。</w:t>
      </w:r>
    </w:p>
    <w:p>
      <w:pPr>
        <w:spacing w:after="90"/>
        <w:ind w:left="220" w:hanging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19"/>
          <w:szCs w:val="19"/>
        </w:rPr>
        <w:t xml:space="preserve">族群短線走弱：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電腦週邊族群近 5 日下跌 4.84%，弱於加權指數同期 -1.23%。</w:t>
      </w:r>
    </w:p>
    <w:p>
      <w:pPr>
        <w:spacing w:after="90"/>
        <w:ind w:left="220" w:hanging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19"/>
          <w:szCs w:val="19"/>
        </w:rPr>
        <w:t xml:space="preserve">成本壓力：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記憶體與關鍵零組件價格上漲推升下游成本，若無法完整轉嫁將壓縮毛利率。</w:t>
      </w:r>
    </w:p>
    <w:p>
      <w:pPr>
        <w:spacing w:after="90"/>
        <w:ind w:left="220" w:hanging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19"/>
          <w:szCs w:val="19"/>
        </w:rPr>
        <w:t xml:space="preserve">共識非正式報告：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FactSet 為多家分析師預估之中位數彙整，非任一券商出具之研究報告，個別券商評等與目標價可能與共識值有明顯落差。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四、來源連結</w:t>
      </w:r>
    </w:p>
    <w:p>
      <w:pPr>
        <w:spacing w:after="90"/>
        <w:ind w:left="220" w:hanging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鉅亨速報 - Factset 最新調查：光寶科(2301-TW)目標價調升至250元，幅度約4.6%（鉅亨網／2026-08-01）  </w:t>
      </w:r>
      <w:hyperlink w:history="1" r:id="rIdlnk001">
        <w:r>
          <w:rPr>
            <w:rFonts w:ascii="Microsoft JhengHei" w:cs="Microsoft JhengHei" w:eastAsia="Microsoft JhengHei" w:hAnsi="Microsoft JhengHei"/>
            <w:b w:val="false"/>
            <w:bCs w:val="false"/>
            <w:i w:val="false"/>
            <w:iCs w:val="false"/>
            <w:color w:val="1155CC"/>
            <w:sz w:val="17"/>
            <w:szCs w:val="17"/>
            <w:u w:val="single"/>
          </w:rPr>
          <w:t xml:space="preserve">https://news.cnyes.com/news/id/6555638</w:t>
        </w:r>
      </w:hyperlink>
    </w:p>
    <w:p>
      <w:pPr>
        <w:spacing w:after="90"/>
        <w:ind w:left="220" w:hanging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16檔外資回頭買 醞釀反彈（工商時報／2026-08-02）  </w:t>
      </w:r>
      <w:hyperlink w:history="1" r:id="rIdlnk002">
        <w:r>
          <w:rPr>
            <w:rFonts w:ascii="Microsoft JhengHei" w:cs="Microsoft JhengHei" w:eastAsia="Microsoft JhengHei" w:hAnsi="Microsoft JhengHei"/>
            <w:b w:val="false"/>
            <w:bCs w:val="false"/>
            <w:i w:val="false"/>
            <w:iCs w:val="false"/>
            <w:color w:val="1155CC"/>
            <w:sz w:val="17"/>
            <w:szCs w:val="17"/>
            <w:u w:val="single"/>
          </w:rPr>
          <w:t xml:space="preserve">https://www.chinatimes.com/newspapers/20260802000165-260202</w:t>
        </w:r>
      </w:hyperlink>
    </w:p>
    <w:p>
      <w:pPr>
        <w:pBdr>
          <w:top w:val="single" w:color="BFBFBF" w:sz="4" w:space="6"/>
        </w:pBdr>
        <w:spacing w:after="0" w:before="26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555555"/>
          <w:sz w:val="17"/>
          <w:szCs w:val="17"/>
        </w:rPr>
        <w:t xml:space="preserve">本摘要依公開新聞整理，非完整券商報告。FactSet 共識為分析師預估中位數彙整，不代表任一券商之正式評等。</w:t>
      </w:r>
    </w:p>
    <w:sectPr>
      <w:headerReference w:type="default" r:id="rId90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" Type="http://schemas.openxmlformats.org/officeDocument/2006/relationships/fontTable" Target="fontTable.xml"/><Relationship Id="rId90" Type="http://schemas.openxmlformats.org/officeDocument/2006/relationships/header" Target="header1.xml"/><Relationship Id="rIdlnk001" Type="http://schemas.openxmlformats.org/officeDocument/2006/relationships/hyperlink" Target="https://news.cnyes.com/news/id/6555638" TargetMode="External"/><Relationship Id="rIdlnk002" Type="http://schemas.openxmlformats.org/officeDocument/2006/relationships/hyperlink" Target="https://www.chinatimes.com/newspapers/20260802000165-260202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2026-08-02T00:18:02.730Z</dcterms:created>
  <dcterms:modified xsi:type="dcterms:W3CDTF">2026-08-02T00:18:02.730Z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