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36"/>
        </w:rPr>
        <w:t>創意（3443）券商觀點摘要</w:t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55555"/>
          <w:sz w:val="20"/>
        </w:rPr>
        <w:t>金控旗下投顧研究機構（原文未載名稱）＋摩根大通　｜　見報 2026/08/18 03:00　工商時報 記者簡威瑟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143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券商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金控旗下投顧研究機構（內資，★ 原文未載名稱）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摩根大通證券（外資，本則僅有論述、未給目標價）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評等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原文未載評等文字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目標價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8,000 元（原文稱「天價目標」，股價正朝此目標邁進）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前值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本系統既有紀錄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2026/08/10　大和資本　買進（升評）　5,125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2026/07/08　FactSet 彙整（外資共識）　5,699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2026/08/05　花旗環球（研究部主管陳佳儀）　半導體五天王全數正向　未列個別目標價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2026/08/04　花旗（分析師陳佳儀）　買進（產業報告六檔）　未列個別目標價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與既有紀錄比較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8,000 元較大和資本 5,125 元高 56.1%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8,000 元較 FactSet 共識 5,699 元高 40.4%（均為本系統回算）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EPS 預估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目標本益比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原文未載，故 8,000 元無法回算驗證</w:t>
            </w:r>
          </w:p>
        </w:tc>
      </w:tr>
    </w:tbl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二、論點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股價動能：創意 8 月初以來接連獲得外資升評，激勵股價節節走高，近期再創新高。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摩根大通核心論述：創意有超過 60% 營收來自 Google Axion CPU，相關營收可望在 2027、2028 年顯著成長，因此創意「很可能是 AI CPU 放量最純粹的受惠股之一」。此為本則唯一具名機構的實質論述。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產業結構：Google 有系統地在其 AI ASIC 採用 CoT（Chip-on-Tier／客戶自帶設計）模式，為創意、世芯-KY 等設計服務業者創造更多機會。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三、風險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本則資訊層級明顯偏低：8,000 元的出處僅載「金控旗下投顧研究機構」，未載機構名稱、未載評等、未載 EPS 預估、未載目標本益比、未載目標價前值、未載報告出具日期。這個數字完全無法回算驗證，也無法判斷是新給、上修或維持。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8,000 元較本系統既有的最高數字（大和資本 5,125 元，2026/08/10）高出 56.1%，較外資共識 5,699 元高出 40.4%。在缺乏論述與模型支撐的情況下，這是一個離群值而非共識值，性質與世芯那組「三家外資併稱」完全不同，兩者不應等量齊觀。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摩根大通雖具名且論述具體，但本則明確沒有給出摩根大通的目標價，不能把 8,000 元與摩根大通的看法綁在一起解讀。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客戶集中度：逾 60% 營收來自 Google Axion CPU 為高度集中的單一客戶單一產品線結構，原文未做敏感度分析，亦未討論 Google 自研策略調整或轉單的影響。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「2027、2028 年顯著成長」為定性描述，原文未提供營收或 EPS 的量化預估。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本則為新聞轉述而非報告原文；本場次鉅亨網 ratediff 外資評等表回傳落後快取，無法取得創意的最新 FactSet 外資共識價作為對照。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來源連結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・世芯獲利跳增 外資按讚（工商時報 2026.08.18 03:00　文內含創意段落）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https://www.ctee.com.tw/news/20260818700079-430201</w:t>
      </w:r>
    </w:p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0000"/>
          <w:sz w:val="19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