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32"/>
        </w:rPr>
        <w:t>創意（3443）券商觀點摘要（併聯發科2454／世芯-KY3661）　2026/08/26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評等／目標價摘要（摩根士丹利「亞太科技產業」報告，大中華區半導體主管詹家鴻）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目標價（新/舊）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關鍵數字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創意 3443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6,288／前值未載（上調）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上修 2026–2028 年 EPS 至 49.97／138／210 元；以 2027 年 45 倍 PE 評價（45×138=6,210，接近 6,288，本系統回算）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聯發科 2454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TPU v10 主要協調者；2029 年估 v9 400 萬顆＋v10 100 萬顆（★「TPU 營收 700 億美元」數字存疑，待確認）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世芯-KY 3661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5,888／前值 5,088（+15.7%）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★08/25「美系外資 5,888（疑大摩）」券商名正式確認＝查證結案；Trainium4 2028 年營收貢獻上看 80 億美元、2028 年 EPS 估年增 60%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論點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一、隨 Google TPU v10 複雜度提高，聯發科打造 v10 晶片時有空間讓多家設計服務供應商負責不同「區塊（blocks）」，聯發科仍是主要協調者；Google 採 COT 模式亦讓世芯有機會取得設計服務訂單；創意則有信心參與 Google TPU 專案。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二、創意：看好 2027 年取得更好的台積電 3 奈米產能配置，並在 Meta／Microsoft 專案有所斬獲；已宣布發行可轉換公司債（CB）以擴大業務規模。補收錄（08/25 09:27 美系大行，研判同源）：明年可望拿下 Meta／Microsoft 專案，上修 EPS 並認為創意值得 re-rate。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三、投顧法人（未具名，08/25 13:21 補收錄）：ASIC 產業「大者恆大」，設計服務商須自備銀彈卡位台積電 3/2 奈米、CoWoS 與 HBM 產能（博通已與 Apollo／Blackstone 建 AI 基建融資平台、初始 350 億美元）。聯發科資料中心 ASIC 營收上修至逾新台幣 3,800 億元、占比逾三成（買進維持）；創意明年 Google CPU 投片量約 13–15 萬片、xAI ASIC 明年量產；世芯為大型 CSP 2 奈米 AI ASIC 主要夥伴、首批量產估 2027Q4（買進維持）。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風險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．★創意目標價出現 6,288（大摩，經濟日報 08/26）與 6,388（未具名外資，工商時報 08/25）兩個相近數字：僅差 1.6%，但評價語不同（大摩為 45 倍 2027 年 PE；工商時報版稱「目前股價約為 2028 年預估 EPS 的 25 倍」）。可能是兩份不同報告，也可能是同報告被兩媒體引用不同段落，未查證前兩筆並存、引用時必須標明出處。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．45 倍 2027 年 PE 屬高評價倍數，EPS 138 元若下修，目標價彈性極大；CB 發行有稀釋效應，原文未量化。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．聯發科「TPU 營收 700 億美元」明顯與公司量級不符（疑為 70 億美元或新台幣口徑之誤植），未查證前不可引用；大摩對聯發科未載目標價，無風險報酬比。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．大摩世芯 5,888 元仍低於花旗環球／摩根大通／瑞銀之 6,600–6,800 元約 12–15%，市場分歧未收斂；AMD 傳切入 Google TPU 之競爭風險（08/20 背景紀錄）本批報告未處理。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．本則均為新聞轉述、非報告原文；投顧法人一稿未具名、無目標價。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來源連結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． 經濟日報：https://money.udn.com/money/story/5607/9714043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． 經濟日報（補收錄）：https://money.udn.com/money/story/5710/9712124、https://money.udn.com/money/story/5607/9712839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． 工商時報（08/25 對照）：https://www.ctee.com.tw/news/20260825701064-430201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