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力成（6239）｜法說後外資與本土法人目標價彙整</w:t>
      </w:r>
    </w:p>
    <w:p>
      <w:pPr>
        <w:spacing w:before="0" w:after="16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20"/>
        </w:rPr>
        <w:t>2026/07/31 盤後場次（原始報導 7/29 補收錄）　｜　產業：半導體－封裝測試　｜　彙整 2 家外資＋本土法人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154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機構</w:t>
            </w:r>
          </w:p>
        </w:tc>
        <w:tc>
          <w:tcPr>
            <w:tcW w:type="dxa" w:w="1587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587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1361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調整</w:t>
            </w:r>
          </w:p>
        </w:tc>
        <w:tc>
          <w:tcPr>
            <w:tcW w:type="dxa" w:w="3061"/>
            <w:shd w:val="clear" w:color="auto" w:fill="DCE3F0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美系外資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未揭露（上調）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360 ／ 300 元</w:t>
            </w:r>
          </w:p>
        </w:tc>
        <w:tc>
          <w:tcPr>
            <w:tcW w:type="dxa" w:w="13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0000"/>
                <w:sz w:val="19"/>
              </w:rPr>
              <w:t>▲ +20.0%</w:t>
            </w:r>
          </w:p>
        </w:tc>
        <w:tc>
          <w:tcPr>
            <w:tcW w:type="dxa" w:w="30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外資圈最高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歐系外資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未揭露（上調）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260 ／ 240 元</w:t>
            </w:r>
          </w:p>
        </w:tc>
        <w:tc>
          <w:tcPr>
            <w:tcW w:type="dxa" w:w="13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0000"/>
                <w:sz w:val="19"/>
              </w:rPr>
              <w:t>▲ +8.3%</w:t>
            </w:r>
          </w:p>
        </w:tc>
        <w:tc>
          <w:tcPr>
            <w:tcW w:type="dxa" w:w="30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相對保守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本土法人（多家）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未揭露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400 元（最高）</w:t>
            </w:r>
          </w:p>
        </w:tc>
        <w:tc>
          <w:tcPr>
            <w:tcW w:type="dxa" w:w="13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0000"/>
                <w:sz w:val="19"/>
              </w:rPr>
              <w:t>▲ 6 家逾 300</w:t>
            </w:r>
          </w:p>
        </w:tc>
        <w:tc>
          <w:tcPr>
            <w:tcW w:type="dxa" w:w="30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本土最樂觀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FactSet 共識（7/30）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共識（未列評等）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310 ／ 300 元</w:t>
            </w:r>
          </w:p>
        </w:tc>
        <w:tc>
          <w:tcPr>
            <w:tcW w:type="dxa" w:w="13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C00000"/>
                <w:sz w:val="19"/>
              </w:rPr>
              <w:t>▲ +3.3%</w:t>
            </w:r>
          </w:p>
        </w:tc>
        <w:tc>
          <w:tcPr>
            <w:tcW w:type="dxa" w:w="30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 EPS 中位數 12.71 元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老牌投顧（7/20）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</w:t>
            </w:r>
          </w:p>
        </w:tc>
        <w:tc>
          <w:tcPr>
            <w:tcW w:type="dxa" w:w="1587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400 元</w:t>
            </w:r>
          </w:p>
        </w:tc>
        <w:tc>
          <w:tcPr>
            <w:tcW w:type="dxa" w:w="13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－ 維持</w:t>
            </w:r>
          </w:p>
        </w:tc>
        <w:tc>
          <w:tcPr>
            <w:tcW w:type="dxa" w:w="3061"/>
          </w:tcPr>
          <w:p>
            <w:pPr>
              <w:spacing w:before="30" w:after="3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既有紀錄對照</w:t>
            </w:r>
          </w:p>
        </w:tc>
      </w:tr>
    </w:tbl>
    <w:p>
      <w:pPr>
        <w:spacing w:before="60" w:after="8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外資最高（360 元）與本土最高（400 元）差距約 11%；FactSet 共識 310 元明顯落後個別券商，顯示共識尚未完全反映法說後上修。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投資論點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Q2 營收與獲利穩健向上，主要成長動能來自 NAND 封裝／測試，該業務營收年增 69%，其次為 SiP 與模組業務。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下半年需求明確：土洋法人一致估 AI 伺服器、HBM、SSD 需求強勁，為本波升價的共同基礎。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FOPLP 進度領先：與超微（AMD）合作開發的扇出型面板級封裝方案進展順利，預計 2027 年年中如期量產，目標成為全球首家將 FOPLP 商業量產於 AI 應用的封測廠。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CPO 布局：與博通（Broadcom）於新加坡成立合資公司發展光學引擎（OE）與共同封裝光學（CPO），估 2027 下半年至 2028 年陸續顯著貢獻營收。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法人重申明後年獲利將創新高，並看好 2027-2028 年 FCBGA 與 FOPLP 新訂單持續增加。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風險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成長動能高度集中於 NAND 相關封測，若 2027 下半年 NAND 供給轉寬鬆（TrendForce 已示警價格恐修正），營收與毛利率將同步承壓。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FOPLP 與 CPO 營收貢獻要到 2027 年中之後，估值已提前反映，中間期間的驗證與良率消息面波動大。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目標價分歧大（260～400 元），歐系外資 260 元僅約美系 360 元的七成。</w:t>
      </w:r>
    </w:p>
    <w:p>
      <w:pPr>
        <w:spacing w:before="0" w:after="60" w:line="276" w:lineRule="auto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7/30 除息 4.5 元（參考價 228.5 元），填息進度受大盤情緒影響。</w:t>
      </w:r>
    </w:p>
    <w:p>
      <w:pPr>
        <w:spacing w:before="240" w:after="80" w:line="276" w:lineRule="auto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來源連結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力成外資升價｜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時報資訊《半導體》力成先進封裝衝高獲利 外資最高喊上360、本土更上看4字頭（2026/07/29）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https://www.chinatimes.com/realtimenews/20260729002258-260410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法說與封測族群｜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工商時報 7／31盤中熱門焦點股（2026/07/31 12:03）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https://www.ctee.com.tw/news/20260731700993-430201</w:t>
      </w:r>
    </w:p>
    <w:p>
      <w:pPr>
        <w:spacing w:before="0" w:after="40" w:line="276" w:lineRule="auto"/>
        <w:ind w:left="170"/>
      </w:pPr>
      <w:r>
        <w:rPr>
          <w:rFonts w:ascii="Microsoft JhengHei" w:hAnsi="Microsoft JhengHei" w:eastAsia="Microsoft JhengHei" w:cs="Microsoft JhengHei"/>
          <w:b/>
          <w:sz w:val="17"/>
        </w:rPr>
        <w:t>除息參考價｜</w:t>
      </w:r>
      <w:r>
        <w:rPr>
          <w:rFonts w:ascii="Microsoft JhengHei" w:hAnsi="Microsoft JhengHei" w:eastAsia="Microsoft JhengHei" w:cs="Microsoft JhengHei"/>
          <w:b w:val="0"/>
          <w:sz w:val="17"/>
        </w:rPr>
        <w:t xml:space="preserve">鉅亨網 盤後速報 - 力成(6239)次交易(30)日除息4.5元，參考價228.5元　</w:t>
      </w:r>
      <w:r>
        <w:rPr>
          <w:rFonts w:ascii="Microsoft JhengHei" w:hAnsi="Microsoft JhengHei" w:eastAsia="Microsoft JhengHei" w:cs="Microsoft JhengHei"/>
          <w:b w:val="0"/>
          <w:color w:val="0B4F9E"/>
          <w:sz w:val="17"/>
        </w:rPr>
        <w:t>https://news.cnyes.com/news/id/6550796</w:t>
      </w:r>
    </w:p>
    <w:p>
      <w:pPr>
        <w:spacing w:before="200" w:after="8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