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34"/>
        </w:rPr>
        <w:t>力成（6239）　FactSet 外資共識彙整</w:t>
      </w:r>
    </w:p>
    <w:p>
      <w:pPr>
        <w:spacing w:after="16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56070"/>
          <w:sz w:val="19"/>
        </w:rPr>
        <w:t>半導體－封測　｜　外資　｜　評等日：2026-08-06、2026-08-07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評等／目標價摘要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4"/>
          <w:left w:val="single" w:sz="4" w:space="0" w:color="B7C3D4"/>
          <w:bottom w:val="single" w:sz="4" w:space="0" w:color="B7C3D4"/>
          <w:right w:val="single" w:sz="4" w:space="0" w:color="B7C3D4"/>
          <w:insideH w:val="single" w:sz="4" w:space="0" w:color="B7C3D4"/>
          <w:insideV w:val="single" w:sz="4" w:space="0" w:color="B7C3D4"/>
        </w:tblBorders>
      </w:tblPr>
      <w:tblGrid>
        <w:gridCol w:w="5213"/>
        <w:gridCol w:w="5213"/>
      </w:tblGrid>
      <w:tr>
        <w:tc>
          <w:tcPr>
            <w:tcW w:type="dxa" w:w="2381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7257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券商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FactSet 彙整（外資共識）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外資／內資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外資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產業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半導體－封測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評等日 2026-08-06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評等：強力買進　｜　目標價：310 → 335 元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評等日 2026-08-07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評等：強力買進　｜　目標價：335 → 360 元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現價（8/7）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262.5 元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隱含空間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+37.1%</w:t>
            </w:r>
          </w:p>
        </w:tc>
      </w:tr>
    </w:tbl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投資論點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連續兩日調升：8/6 由 310 元升至 335 元（+8.1%），8/7 再由 335 元升至 360 元（+7.5%），兩日累計 +16.1%。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評等兩日均維持「強力買進」，是本場次評等最強、且方向最一致的標的。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產業背景（8/5 已收錄本土投顧觀點）：記憶體供需失衡短期難緩解，HBM 排擠效應帶來外包訂單；力成並與 Broadcom 於新加坡成立合資公司發展先進封裝，以微凸塊技術切入 3D Optical。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風險與須留意之處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本則出自 FactSet 外資評等統計彙整，兩日調升未載明分析師論述與獲利預估上修幅度。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360 元相對現價 262.5 元隱含空間 +37.1%，但兩日連升本身也意味共識調整速度偏快，須留意追價風險。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記憶體封測動能高度依賴記憶體漲價循環延續，若價格反轉，外包訂單能見度將同步收斂。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資料性質說明</w:t>
      </w:r>
    </w:p>
    <w:p>
      <w:pPr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>本則為鉅亨網「針對國外法人（QFII）所發佈個股評等的統計總表」之 FactSet 彙整數字，來源僅提供評等、舊目標價、新目標價與現價，未附分析師姓名、論述、財務預估或評價方法。因此本摘要之「投資論點」係依可得數字與 _log 歷史紀錄推導，並非引述券商原文。若需完整論點，請取得原始券商報告 PDF 後置入 研究報告\收件匣\ 以產製三頁深度摘要。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來源連結</w:t>
      </w:r>
    </w:p>
    <w:p>
      <w:pPr>
        <w:spacing w:after="20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17"/>
        </w:rPr>
        <w:t>• 鉅亨網：外資評等統計總表（QFII 個股評等）</w:t>
      </w:r>
    </w:p>
    <w:p>
      <w:pPr>
        <w:spacing w:after="80"/>
        <w:ind w:left="238"/>
      </w:pPr>
      <w:r>
        <w:rPr>
          <w:rFonts w:ascii="Microsoft JhengHei" w:hAnsi="Microsoft JhengHei" w:eastAsia="Microsoft JhengHei" w:cs="Microsoft JhengHei"/>
          <w:b w:val="0"/>
          <w:i w:val="0"/>
          <w:color w:val="1B5EA8"/>
          <w:sz w:val="16"/>
        </w:rPr>
        <w:t>https://www.cnyes.com/twstock/board/ratediff.aspx</w:t>
      </w:r>
    </w:p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88502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