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力旺（3529）券商觀點摘要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9"/>
        </w:rPr>
        <w:t>2026/08/18 盤後場次｜見報 2026/08/18 09:57 工商時報／時報記者王逸芯｜產業：半導體－矽智財 IP（eNVM／硬體安全）</w:t>
      </w:r>
    </w:p>
    <w:p>
      <w:pPr>
        <w:spacing w:before="40" w:after="80"/>
      </w:pPr>
      <w:r>
        <w:rPr>
          <w:rFonts w:ascii="Microsoft JhengHei" w:hAnsi="Microsoft JhengHei" w:eastAsia="Microsoft JhengHei" w:cs="Microsoft JhengHei"/>
          <w:b/>
          <w:sz w:val="26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美系外資（未具名）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加碼（★首度給予，無前次評等）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目標價（新／舊）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3,330 元／無前值（首次評等）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獲利預估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2025 至 2028 年 EPS 年複合成長率（CAGR）估達 25%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同日對照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FactSet 外資共識（評等日 20260818）重申「超越市場」，目標價由 4,800 元下修至 3,900 元（－18.75%，本系統回算）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表列現價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2,340 元（鉅亨表對應 08/17 收盤）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隱含空間（本系統回算）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美系首評 3,330 元 +42.31%｜FactSet 共識 3,900 元 +66.67%；共識較該行首評高 17.1%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二、論點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・★本場次最重要的結構性訊號：同一天、同一檔股票，一家美系外資「首度」以加碼進場給 3,330 元，FactSet 外資共識卻同步由 4,800 元下修至 3,900 元。新進場者較既有共識保守 17.1%，這是評等首次覆蓋時較少見的組合。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・商業模式：力旺為全球嵌入式非揮發性記憶體（eNVM）及硬體安全 IP 主要供應商之一，商業模式以權利金收入為核心，透過半導體 IP 組合創造高毛利、具重複性的權利金收入。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・成長引擎一｜先進製程紅利：隨晶圓製造往更先進節點發展，可望帶動 NeoFuse OTP（一次性可編程記憶體）滲透率提升。★關鍵在於先進製程晶圓單價較高，在權利金計價模式下同步推升單位晶圓帶來的權利金收入——即「量」與「價」雙升。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・成長引擎二｜NeoPUF 擴散：先進製程採用範圍擴大不僅有利 NeoFuse OTP 需求，也創造更多 NeoPUF（實體不可複製功能）導入機會，使 IP 產品組合由記憶體延伸至硬體安全領域。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・★成長引擎三｜PQC（後量子密碼）：該行認為 PQC 有機會成為力旺第二個長期權利金成長引擎。隨各國政府與企業轉向量子安全架構，硬體層級金鑰保護重要性快速提升，NeoPUF 具備作為硬體信任根（Root of Trust, RoT）的應用潛力。NeoPUF 透過晶片本身製程差異產生獨特且難以複製的硬體特徵，可用於建立裝置身分認證及安全金鑰。若 PQC 應用擴大，NeoPUF 可望與既有 OTP 業務並列。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三、風險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・★該外資自載三大風險（原文明列）：一、主要客戶採用力旺 IP 的速度低於預期；二、PQC 導入進程較預期緩慢；三、基於 PUF 技術的 PQC 安全解決方案市場競爭加劇。三者均可能影響中長期成長幅度。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・★整套多頭論述中，PQC 這條線全部為定性描述——「有機會成為」「具備應用潛力」「若 PQC 應用逐步擴大」，原文未提供任何 PQC 相關營收預估、客戶名單、認證進度或時程表，無法量化。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・★同日 FactSet 共識下修 18.75% 是本則最應警覺處。共識由 4,800 元降至 3,900 元代表既有覆蓋機構正在調降預期，與新進場者的樂觀首評方向相反；旺來不宜將 3,330 元解讀為「市場轉多」的訊號。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・3,330 元未揭露目標本益比、評價年度與各年度 EPS 絕對值（僅給 CAGR 25%），完全無法回算驗證。CAGR 起算年為 2025 年（已知數）而非預估年，若 2025 年基期偏低，25% 的 CAGR 未必對應強勁的絕對獲利水準。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・權利金模式的獲利高度依賴客戶端晶圓投片量與先進製程比重，屬於下游景氣的衍生變數；一旦 AI 相關先進製程投片放緩，權利金收入下滑速度同樣快，原文未做情境試算。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・券商未具名，未載報告出具日期；本則為新聞轉述非報告原文。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 20260818700799｜力旺權利金成長添柴火！PQC商機浮現、外資上看3330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https://www.ctee.com.tw/news/20260818700799-430201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・鉅亨網 外資券商評等表（評等日 20260818）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https://www.cnyes.com/twstock/board/ratediff.aspx?gt=all&amp;gp=rate</w:t>
      </w:r>
    </w:p>
    <w:p>
      <w:pPr>
        <w:spacing w:after="120" w:before="0"/>
      </w:pPr>
    </w:p>
    <w:p>
      <w:pPr>
        <w:spacing w:after="0" w:before="0"/>
      </w:pPr>
      <w:r>
        <w:rPr>
          <w:rFonts w:ascii="Microsoft JhengHei" w:hAnsi="Microsoft JhengHei" w:eastAsia="Microsoft JhengHei" w:cs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