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力旺（3529）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FactSet 外資共識（鉅亨網外資評等表，評等日 20260819）｜半導體－矽智財 IP（eNVM／硬體安全）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評等日 2026/08/19｜鉅亨網 FactSet 外資評等表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資料源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分析師共識統計（非任何單一機構研究報告）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本表評等欄為空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3,785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前一評等日（08/18）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3,842.5 元（重申「超越市場」，前值 4,800 元）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兩日變動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−1.50%（本系統回算）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表列現價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2,260 元（對應前一交易日收盤）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隱含空間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+67.48%（以表列現價回算）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★連續兩個評等日下修＝08/18 由 4,800 元下修至 3,842.5 元（−19.95%），08/19 再降至 3,785 元（−1.50%），累計自 4,800 元下修 21.15%（本系統回算）。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★重要資料修正＝本系統於 08/18 盤後場次記錄的 08/18 共識值為 3,900 元，本場次覆核鉅亨表列該筆已顯示為 3,842.5 元。鉅亨表的歷史列存在回溯修正，本系統原記錄應以 3,842.5 元為準。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★與具名券商的方向背離持續＝摩根士丹利於 08/18–08/19 首度覆蓋力旺並給予正向、推測合理股價 3,330 元，而共識仍在 3,785 元，共識較大摩初評高 13.66%（本系統回算）。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★共識由 4,800 元一路下修至 3,785 元、逐步向大摩的 3,330 元靠攏，是本系統目前觀察到的方向；若此趨勢延續，大摩初評可能是領先指標而非落後。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基本面背景（出自本系統 08/18–08/19 已收錄之大摩觀點，非本表內容）＝先進製程升級推動 NeoFuse OTP 滲透率提升、NeoPUF 作為硬體信任根、PQC 後量子密碼為潛在第二成長引擎，2025–2028 年 EPS CAGR 估 25%。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★FactSet 為分析師共識統計而非任何單一機構的研究報告，本表評等欄為空、無論述、無 EPS 預估、無目標本益比、無涵蓋分析師家數與樂觀中立悲觀分布，完全無法回算驗證。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★共識價會平滑掉離群值，其變動平緩不等於可靠，而是分歧被隱藏。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★連續下修 21.15% 的過程中股價卻仍在 2,260 元附近，隱含空間仍高達 67%，這種「共識下修但空間仍大」的組合通常代表股價早已反映悲觀情境或共識樣本組成正在變動，兩者意義完全不同，本表無法區分。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★鉅亨表現價欄對應前一交易日收盤而非當日收盤，所有隱含空間回算須以最新股價重算。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★本表歷史列可被回溯修正（本場次已實證），不宜作為固定基準。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