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Microsoft JhengHei" w:hAnsi="Microsoft JhengHei" w:eastAsia="Microsoft JhengHei"/>
          <w:b/>
          <w:i w:val="0"/>
          <w:sz w:val="28"/>
        </w:rPr>
        <w:t>力積電(6770)｜摩根大通（小摩）研究觀點摘要</w:t>
      </w:r>
    </w:p>
    <w:p>
      <w:pPr>
        <w:spacing w:after="20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報告日期（新聞見報）：2026/07/15｜外資｜產業：半導體－記憶體晶圓代工</w:t>
      </w:r>
    </w:p>
    <w:p>
      <w:pPr>
        <w:spacing w:after="120" w:before="200"/>
      </w:pPr>
      <w:r>
        <w:rPr>
          <w:rFonts w:ascii="Microsoft JhengHei" w:hAnsi="Microsoft JhengHei" w:eastAsia="Microsoft JhengHei"/>
          <w:b/>
          <w:i w:val="0"/>
          <w:sz w:val="24"/>
        </w:rPr>
        <w:t>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7540"/>
            <w:shd w:val="clear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評等</w:t>
            </w:r>
          </w:p>
        </w:tc>
        <w:tc>
          <w:tcPr>
            <w:tcW w:type="dxa" w:w="75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優於大盤（維持）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</w:t>
            </w:r>
          </w:p>
        </w:tc>
        <w:tc>
          <w:tcPr>
            <w:tcW w:type="dxa" w:w="75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100元（首度喊上百元；較官股投顧7/13之85元更高）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營運預期</w:t>
            </w:r>
          </w:p>
        </w:tc>
        <w:tc>
          <w:tcPr>
            <w:tcW w:type="dxa" w:w="75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Q4將迎來強於預期之營收與獲利回升，擴張動能一路延續至2028年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價格動能</w:t>
            </w:r>
          </w:p>
        </w:tc>
        <w:tc>
          <w:tcPr>
            <w:tcW w:type="dxa" w:w="75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8吋／12吋上半年已漲10～15%，7月DRAM投片價二度調漲45%</w:t>
            </w:r>
          </w:p>
        </w:tc>
      </w:tr>
    </w:tbl>
    <w:p>
      <w:pPr>
        <w:spacing w:after="120" w:before="200"/>
      </w:pPr>
      <w:r>
        <w:rPr>
          <w:rFonts w:ascii="Microsoft JhengHei" w:hAnsi="Microsoft JhengHei" w:eastAsia="Microsoft JhengHei"/>
          <w:b/>
          <w:i w:val="0"/>
          <w:sz w:val="24"/>
        </w:rPr>
        <w:t>主要論點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 w:val="0"/>
          <w:sz w:val="22"/>
        </w:rPr>
        <w:t>漲價與毛利率：記憶體代工漲價力道強於預期，毛利率回升速度快於預期（Q2毛利率已自10%回升至28%）。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 w:val="0"/>
          <w:sz w:val="22"/>
        </w:rPr>
        <w:t>產品組合優化：提高記憶體營收占比、邏輯代工中電源管理晶片（PMIC）比重上升，並降低面板驅動IC（DDIC）與感測器比重，支撐ASP持續成長。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 w:val="0"/>
          <w:sz w:val="22"/>
        </w:rPr>
        <w:t>長期成長驅動（3D AI Foundry）：自研1X與源自美光之1P節點DRAM製程升級、承接美光HBM晶圓後段製造（PWF，合約至2030年、美光預付3億美元）、供應英特爾EMIB封裝之矽電容、承接台積電CoWoS產能吃緊外溢之矽中介層需求、以及WoW晶圓堆疊架構。</w:t>
      </w:r>
    </w:p>
    <w:p>
      <w:pPr>
        <w:spacing w:after="120" w:before="200"/>
      </w:pPr>
      <w:r>
        <w:rPr>
          <w:rFonts w:ascii="Microsoft JhengHei" w:hAnsi="Microsoft JhengHei" w:eastAsia="Microsoft JhengHei"/>
          <w:b/>
          <w:i w:val="0"/>
          <w:sz w:val="24"/>
        </w:rPr>
        <w:t>風險提示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 w:val="0"/>
          <w:sz w:val="22"/>
        </w:rPr>
        <w:t>新聞未明列風險；整理提示：籌碼結構極端（大戶不足200人持股44%、逾65萬名散戶持股31%，情緒轉向時賣壓難測）、Q1獲利含出售銅鑼廠一次性利益之高基期、記憶體產業週期反轉與中國長鑫低價競爭、法人普遍提醒存貨去化風險。</w:t>
      </w:r>
    </w:p>
    <w:p>
      <w:pPr>
        <w:spacing w:after="120" w:before="200"/>
      </w:pPr>
      <w:r>
        <w:rPr>
          <w:rFonts w:ascii="Microsoft JhengHei" w:hAnsi="Microsoft JhengHei" w:eastAsia="Microsoft JhengHei"/>
          <w:b/>
          <w:i w:val="0"/>
          <w:sz w:val="24"/>
        </w:rPr>
        <w:t>來源連結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• 旺得富理財網 2026/07/15 10:54：https://wantrich.chinatimes.com/news/20260715900291-420101</w:t>
      </w:r>
    </w:p>
    <w:p>
      <w:pPr>
        <w:spacing w:after="20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• 旺得富理財網 2026/07/18（玩股網專欄，背景參考）：https://wantrich.chinatimes.com/news/20260718900045-420101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/>
          <w:sz w:val="20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