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力積電（6770）券商觀點摘要</w:t>
      </w:r>
    </w:p>
    <w:p>
      <w:pPr>
        <w:spacing w:after="16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資料日期：2026/07/25｜券商：本土法人（未具名，內資）｜產業：半導體-記憶體晶圓代工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中立 → 買進（升評）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sz w:val="20"/>
                <w:szCs w:val="20"/>
              </w:rPr>
              <w:t xml:space="preserve">目標價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 元（前值 65 元，+23%）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sz w:val="20"/>
                <w:szCs w:val="20"/>
              </w:rPr>
              <w:t xml:space="preserve">EPS 預估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2026／2027 年各 6.26／6.39 元</w:t>
            </w:r>
          </w:p>
        </w:tc>
      </w:tr>
      <w:tr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1"/>
                <w:bCs w:val="1"/>
                <w:i w:val="false"/>
                <w:iCs w:val="false"/>
                <w:sz w:val="20"/>
                <w:szCs w:val="20"/>
              </w:rPr>
              <w:t xml:space="preserve">Q2 實績</w:t>
            </w:r>
          </w:p>
        </w:tc>
        <w:tc>
          <w:tcPr>
            <w:tcW w:type="dxa" w:w="6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毛利率 28% 創近 3 年半新高；單季 EPS 0.76 元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核心論點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記憶體漲價效益逐步發酵、產品組合改善，Q2 毛利率 28% 創近三年半新高。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總經理朱憲國表示 7 月投片價格再調漲 45%，Q3、Q4 營運有望季季高。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法人依漲價動能與獲利回升，將評級由「中立」升為「買進」，目標價 65 → 80 元。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外資上週（7/20-7/24）賣超 10.8 萬張、提款 69.7 億元，籌碼面壓力大（賣超王）。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記憶體現貨價波動與台股高檔震盪，可能使漲價傳導不如預期。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60"/>
      </w:pPr>
      <w:hyperlink w:history="1" r:id="rIdtne8l9lizqtdfz2fy_7tc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564258（2026/7/25 21:30）</w:t>
        </w:r>
      </w:hyperlink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ne8l9lizqtdfz2fy_7tc" Type="http://schemas.openxmlformats.org/officeDocument/2006/relationships/hyperlink" Target="https://www.ftnn.com.tw/news/564258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2026-07-26T00:19:17.887Z</dcterms:created>
  <dcterms:modified xsi:type="dcterms:W3CDTF">2026-07-26T00:19:17.887Z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