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864"/>
          <w:sz w:val="34"/>
        </w:rPr>
        <w:t>力積電（6770）券商觀點摘要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2026/08/07 早盤場次｜半導體－晶圓代工／DRAM｜資料來源：工商時報、鉅亨網</w:t>
      </w:r>
    </w:p>
    <w:p>
      <w:pPr>
        <w:spacing w:after="80" w:before="80"/>
      </w:pPr>
      <w:r>
        <w:rPr>
          <w:rFonts w:ascii="Microsoft JhengHei" w:hAnsi="Microsoft JhengHei" w:eastAsia="Microsoft JhengHei"/>
          <w:b/>
          <w:color w:val="1F3864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券商／法人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屬性</w:t>
            </w:r>
          </w:p>
        </w:tc>
        <w:tc>
          <w:tcPr>
            <w:tcW w:type="dxa" w:w="153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379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報告重點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瑞銀證券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買進（升評）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 ／ 前值未揭露</w:t>
            </w:r>
          </w:p>
        </w:tc>
        <w:tc>
          <w:tcPr>
            <w:tcW w:type="dxa" w:w="379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推測合理股價拉升至100元，與摩根大通並駕齊驅。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摩根大通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53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未明示（正向）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 ／ 前值未揭露</w:t>
            </w:r>
          </w:p>
        </w:tc>
        <w:tc>
          <w:tcPr>
            <w:tcW w:type="dxa" w:w="379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與瑞銀同列百元。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摩根士丹利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未明示（正向）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111 ／ 前值未揭露</w:t>
            </w:r>
          </w:p>
        </w:tc>
        <w:tc>
          <w:tcPr>
            <w:tcW w:type="dxa" w:w="379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市場最高，外資看破百共識確立。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FactSet 彙整（8/6）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53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共識（未列評等）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100（+8.11%）</w:t>
            </w:r>
          </w:p>
        </w:tc>
        <w:tc>
          <w:tcPr>
            <w:tcW w:type="dxa" w:w="379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外資共識同步調升至100元，與本場次個別報告一致。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4"/>
        </w:rPr>
        <w:t>二、投資論點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產業環境：晶圓代工占力積電營收比重高達46%，外資認為至2027~2028年都可明顯受惠於DRAM供應緊俏的產業環境。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漲價效益：公司管理層表示7月已調漲DRAM價格45%，相關效益將自11月營收開始反映。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價格預估：瑞銀預估整體DDR價格第三季、第四季分別季增23%與13%；並預估自2026Q4至2027Q4期間價格還會再漲約21%。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製程升級：2027年導入自研1x（19奈米）製程量產，2028年與美光合作導入1p（16奈米）製程量產；1p製程可望使每片晶圓售價提高至目前記憶體單位售價的2.5倍。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獲利軌跡：外資財務模型顯示力積電今年終結多年虧損、轉虧為盈，EPS跳升至7.26元，2027年、2028年再攀高至9.7元與11.32元。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評價空間：8/6收66.6元，距百元級目標價潛在空間逾5成；以2026年EPS 7.26元計，100元目標價隱含本益比約13.8倍，2027年EPS 9.7元則約10.3倍，於AI供應鏈個股中屬明顯偏低水位。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公司治理：創辦人黃崇仁辭世後，經營管理團隊強調公司治理、核心團隊及發展策略維持不變，外資此時出具正向報告帶有背書意味。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C00000"/>
          <w:sz w:val="24"/>
        </w:rPr>
        <w:t>三、風險與待確認事項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三家外資前值均未揭露，無法判斷瑞銀以外兩家是升評、維持或下修；瑞銀明載為「升評買進」。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轉盈高度依賴DRAM漲價假設，7月漲價45%的效益要到11月營收才反映，中間存在驗證空窗期；若DDR Q4季增13%或2027年再漲21%不如預期，EPS 7.26→9.7→11.32元的成長軌跡將同步下修。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1p（16奈米）需與美光合作、2028年才量產，售價提高至2.5倍屬長線題材，2026~2027年獲利仍靠既有製程與價格。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本則未揭露晶圓代工以外業務（記憶體自有品牌、代工客戶結構）之細部假設，亦未提供產能利用率數字。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同業競爭：長鑫存儲7/27掛牌後市值衝上人民幣3.3兆元、野村初評買進目標價人民幣116元，陸系DRAM產能擴張對2028年後供需的排擠效應尚未反映在本報告中。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4"/>
        </w:rPr>
        <w:t>四、來源連結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力積電再戰百元關！DRAM發威記憶體帶營收飛 外資喊買目標價曝光（工商時報 2026/08/07）  https://www.ctee.com.tw/news/20260807700084-430201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鉅亨速報－FactSet 最新調查：力積電(6770-TW)目標價調升至100元，幅度約8.11%（鉅亨網）  https://news.cnyes.com/news/id/6550441</w:t>
      </w:r>
    </w:p>
    <w:p>
      <w:pPr>
        <w:spacing w:after="80" w:before="200"/>
      </w:pPr>
      <w:r>
        <w:rPr>
          <w:rFonts w:ascii="Microsoft JhengHei" w:hAnsi="Microsoft JhengHei" w:eastAsia="Microsoft JhengHei"/>
          <w:b w:val="0"/>
          <w:color w:val="888888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