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南亞科（2408）券商觀點摘要──摩根士丹利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2026/07/13（7/10 法說後）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摩根士丹利（外資），大中華區半導體主管詹家鴻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半導體－記憶體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優於大盤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580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550 元（上調 5.4%）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盈餘預估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2025–2028 年 EPS 年複合成長率（CAGR）估 216%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Q2 財報符合預期，單季 EPS 高於市場共識約 15%。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展望 Q3：定價與獲利能力可望持續向上，營收估季增至少 25%，Q4 有機會延續。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DDR4 將持續嚴重短缺，且南亞科已簽署長期供貨合約（LTA）支撐未來成長。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記憶體價格循環反轉風險；ASP 漲勢若不如預期將壓縮獲利上修空間。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中國長江存儲／長鑫擴產（伯恩斯坦 7/12 示警 2028 年市占估 19%／11%，已收錄）。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輝達 Rubin 平台 LPDDR5X 容量砍半、終端降規恐觸發需求修正（廣發證券 7/12 觀點，已收錄）。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2026/07/13：https://udn.com/news/story/7253/9624296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