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JhengHei" w:hAnsi="Microsoft JhengHei" w:eastAsia="Microsoft JhengHei"/>
          <w:b/>
          <w:sz w:val="30"/>
        </w:rPr>
        <w:t>南亞科（2408）券商觀點摘要──瑞銀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18"/>
        </w:rPr>
        <w:t>整理日期：2026/07/13（盤後場次）｜整理：旺來研究報告助手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報導日期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2026/07/13（7/10 法說後）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券商／屬性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瑞銀證券（外資），亞太科技研究主管高多斯（Nicolas Gaudois）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產業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半導體－記憶體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評等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買進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目標價（新）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555 元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目標價（舊）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495 元（上調 12.1%）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盈餘調整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2026／2027 年 EPS 上修 18%／17% 至 62.35／103.66 元</w:t>
            </w:r>
          </w:p>
        </w:tc>
      </w:tr>
    </w:tbl>
    <w:p>
      <w:pPr>
        <w:spacing w:after="2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報告論點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Q2 營運表現亮眼、優於市場共識。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展望 Q3：平均銷售單價（ASP）估季增 32%，帶動單季營運續增，Q4 可望再上層樓。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反映 Q2 業績與位元出貨量／ASP 新假設，2026／2027 年營收預測上調 12%／10% 至 3,450 億／5,700 億元。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記憶體價格循環反轉風險；ASP 漲勢若不如預期將壓縮獲利上修空間。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中國長江存儲／長鑫擴產（伯恩斯坦 7/12 示警 2028 年市占估 19%／11%，已收錄）。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輝達 Rubin 平台 LPDDR5X 容量砍半、終端降規恐觸發需求修正（廣發證券 7/12 觀點，已收錄）。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經濟日報 2026/07/13：https://udn.com/news/story/7253/9624296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7"/>
        </w:rPr>
        <w:t>本摘要依公開新聞整理，非券商完整報告；數字以原報導為準。</w:t>
      </w:r>
    </w:p>
    <w:sectPr w:rsidR="00FC693F" w:rsidRPr="0006063C" w:rsidSect="00034616">
      <w:headerReference w:type="default" r:id="rId9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