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eastAsia="Microsoft JhengHei" w:hAnsi="Microsoft JhengHei"/>
          <w:b/>
          <w:bCs/>
          <w:color w:val="1F4E79"/>
          <w:sz w:val="34"/>
          <w:szCs w:val="34"/>
        </w:rPr>
        <w:t xml:space="preserve">南亞科（2408）券商觀點摘要</w:t>
      </w:r>
    </w:p>
    <w:p>
      <w:pPr>
        <w:spacing w:after="24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2026/07/16｜本土大咖投顧（未具名）（內資）｜半導體－記憶體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評等／目標價摘要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2026/07/16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券商（屬性）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本土大咖投顧（未具名）（內資）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產業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半導體－記憶體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548 元（相當 2026 年預估 PE 約 9.3 倍、PB 約 4.2 倍）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維持（未揭露前值）</w:t>
            </w:r>
          </w:p>
        </w:tc>
      </w:tr>
      <w:tr>
        <w:tc>
          <w:tcPr>
            <w:tcW w:type="dxa" w:w="2200"/>
            <w:shd w:fill="EDF2F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當日股價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據 DIGITIMES 報導，南亞科長、短期供貨合約（LTA）已覆蓋約 50% 產能，部分客戶簽訂不可取消、不可退貨（NCNR）條款，提前鎖定未來產能。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LTA 主要鎖定 DDR4 產品並採預付款機制：客戶先按基礎價格支付訂金，實際出貨時再依當時合約價補足差額，有助未來數季甚至數年營運穩定。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法人認為在 SCA／LTA 商業型態支撐下，記憶體產業週期底部將遠高於過往歷史區間，維持「買進」評等、目標價 548 元。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各家目標價分歧大（近期同業觀點區間約 521～1,000 元），假設差異高。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LTA 條款嚴苛會加重下游客戶資金週轉壓力，若需求反轉恐影響履約與新約議價。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sz w:val="22"/>
          <w:szCs w:val="22"/>
        </w:rPr>
        <w:t xml:space="preserve">DRAM 現貨與合約價漲勢若不如預期，獲利上修動能將放緩。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1F4E79"/>
          <w:sz w:val="26"/>
          <w:szCs w:val="26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aprzsd73mptma14paf9w">
        <w:r>
          <w:rPr>
            <w:rFonts w:ascii="Microsoft JhengHei" w:eastAsia="Microsoft JhengHei" w:hAnsi="Microsoft JhengHei"/>
            <w:color w:val="0563C1"/>
            <w:sz w:val="22"/>
            <w:szCs w:val="22"/>
            <w:u w:val="single"/>
          </w:rPr>
          <w:t xml:space="preserve">FTNN｜客戶先付錢搶貨！南亞科50%產能提前鎖定，法人喊價548元（2026/7/16）</w:t>
        </w:r>
      </w:hyperlink>
    </w:p>
    <w:p>
      <w:pPr>
        <w:spacing w:before="240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aprzsd73mptma14paf9w" Type="http://schemas.openxmlformats.org/officeDocument/2006/relationships/hyperlink" Target="https://www.ftnn.com.tw/news/561702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2026-07-16T11:20:57.927Z</dcterms:created>
  <dcterms:modified xsi:type="dcterms:W3CDTF">2026-07-16T11:20:57.927Z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