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1F3864"/>
          <w:sz w:val="32"/>
          <w:szCs w:val="32"/>
        </w:rPr>
        <w:t xml:space="preserve">南亞科（2408）券商觀點摘要</w:t>
      </w:r>
    </w:p>
    <w:p>
      <w:pPr>
        <w:spacing w:after="16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2026/07/22｜富邦投顧｜依公開新聞整理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評等／目標價摘要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股票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南亞科（2408）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產業</w:t>
            </w:r>
          </w:p>
        </w:tc>
        <w:tc>
          <w:tcPr>
            <w:tcW w:type="dxa" w:w="7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半導體－記憶體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富邦投顧｜內資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7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買進（維持）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目標價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548 元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前值／備註</w:t>
            </w:r>
          </w:p>
        </w:tc>
        <w:tc>
          <w:tcPr>
            <w:tcW w:type="dxa" w:w="7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548 元（維持；與7/16本土投顧548元觀點同源具名確認）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資料日期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2026/07/22（盤後場次收錄）</w:t>
            </w:r>
          </w:p>
        </w:tc>
      </w:tr>
    </w:tbl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主要論點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2026年第2季應用於AI基礎設施及伺服器的營收占比已超過20%，正與多家客戶開發客製化AI／WoW產品。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推估2027年伺服器相關營收占比上看30%，四大私募股東的SSD與網通DRAM貢獻逾2成、工業DDR4特規占比上看2成，合計約7成產能出海口為低價格敏感度客戶。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2026年銷售仍以DDR4為主，隨多數DDR4裝置逐步EOL，後續轉向低價格敏感客群，有利維持較佳產品組合；看好本次記憶體產業周期底部將遠高於歷史區間。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風險提醒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DRAM報價漲勢若不如預期，產品組合優勢可能減弱。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記憶體景氣循環波動仍在，須留意PC／手機端需求修正風險。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來源連結</w:t>
      </w:r>
    </w:p>
    <w:p>
      <w:pPr>
        <w:spacing w:after="4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旺得富理財網 20260722900172</w:t>
      </w:r>
    </w:p>
    <w:p>
      <w:pPr>
        <w:spacing w:after="20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2E5395"/>
          <w:sz w:val="18"/>
          <w:szCs w:val="18"/>
        </w:rPr>
        <w:t xml:space="preserve">https://wantrich.chinatimes.com/news/20260722900172-420101</w:t>
      </w:r>
    </w:p>
    <w:p>
      <w:pPr>
        <w:spacing w:before="20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/>
          <w:iCs/>
          <w:color w:val="888888"/>
          <w:sz w:val="18"/>
          <w:szCs w:val="18"/>
        </w:rPr>
        <w:t xml:space="preserve">本摘要依公開新聞整理，非完整報告。數字以券商原始報告為準，投資請審慎評估風險。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2026-07-22T11:21:42.869Z</dcterms:created>
  <dcterms:modified xsi:type="dcterms:W3CDTF">2026-07-22T11:21:42.869Z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