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南亞科（2408）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1"/>
        </w:rPr>
        <w:t>半導體 — DRAM／記憶體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2026/08/03（週一）盤後場次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新／舊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摩根士丹利（大摩）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580 ／ 550</w:t>
              <w:br/>
              <w:t>（+5.5%，對照 6/29 大摩報告）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85%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8/3 股價：早盤即亮燈強鎖漲停並鎖至收盤。以目標價與 85% 潛在漲幅回推收盤約 313 元（推算值，非原文數字）。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獲利成長動能強勁為評等核心理由。2026 年 EPS 預估 62.13 元，較 2025 年的 2.36 元激增 25.32 倍。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2027 年 EPS 預估再升至 112.32 元、年增 80.78%，兩年連續大幅成長。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DDR4 第 3 季可望維持逐月漲價，CSP（雲端服務供應商）願意提高採購價格，甚至有機會簽下 1~2 年長約（LTA）。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價格預估：Q3 單月漲幅有望逾 20%，單季漲幅上看 30% 以上。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產業結構性驅動：AI 發展由大型模型訓練轉向以推理為主的代理式 AI，推理請求由單次轉為持續循環，記憶體需求出現結構性擴張；記憶體產能滿載時點由原先 2027 年遞延至 2028 年，景氣循環拉長。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原始報導未列任何下行風險，通篇為單向偏多敘述，需自行留意反向因子。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新聞未揭露大摩此次的舊評等與明確調幅；580 元係與 6/29 大摩報告的 550 元對照推得，非原文明示。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EPS 數字為券商預估而非公司財測，DDR4 漲價幅度若不如預期將直接壓縮獲利假設。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85% 潛在漲幅隱含相當程度的評價擴張假設，股價已於 7/31、8/3 連續強彈。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另有市場意見示警記憶體暴漲後終端消費恐買不起、存在天花板效應（8/3 udn 9666985），與大摩看法相左。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AI啟動記憶體超級周期 外資暴漲式喊多2檔指標股（經濟日報 2026/08/03 17:04）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https://udn.com/news/story/7252/9668043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9933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