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color w:val="1F3B63"/>
          <w:sz w:val="30"/>
        </w:rPr>
        <w:t>南亞科（2408）券商觀點摘要　2026/08/10 盤後</w:t>
      </w:r>
    </w:p>
    <w:p>
      <w:pPr>
        <w:spacing w:after="18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半導體－標準型／利基型 DRAM／資料來源：經濟日報 2026/08/10 16:36（記者魏興中）</w:t>
      </w:r>
    </w:p>
    <w:p>
      <w:pPr>
        <w:spacing w:after="80" w:before="0"/>
      </w:pPr>
      <w:r>
        <w:rPr>
          <w:rFonts w:ascii="Microsoft JhengHei" w:hAnsi="Microsoft JhengHei" w:eastAsia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164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瑞銀（UBS，外資）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報告類型</w:t>
            </w:r>
          </w:p>
        </w:tc>
        <w:tc>
          <w:tcPr>
            <w:tcW w:type="dxa" w:w="816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半導體產業報告（南亞科為台廠中入列「買進」名單者）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816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EPS 預估</w:t>
            </w:r>
          </w:p>
        </w:tc>
        <w:tc>
          <w:tcPr>
            <w:tcW w:type="dxa" w:w="816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本益比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報告出具日</w:t>
            </w:r>
          </w:p>
        </w:tc>
        <w:tc>
          <w:tcPr>
            <w:tcW w:type="dxa" w:w="816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未載（見報日 2026/08/10 16:36）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股價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8/10 亮燈強鎖漲停；同日外資狂掃南亞科約 3 萬張</w:t>
            </w:r>
          </w:p>
        </w:tc>
      </w:tr>
    </w:tbl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二、論點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報告核心：瑞銀基於「產業需求前景優於預期」喊買相關全球記憶體股，台廠中南亞科入列「買進」名單。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HBM 規格下修但總量不減：為因應持續緊張的記憶體供給，輝達 Rubin Ultra 的 HBM 規格調降 — 初始版本 VR300 每顆 GPU 搭載 384GB HBM4，後續升級至 512GB HBM4E，低於原先預估的 768GB。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出貨量補回缺口：儘管規格調降，瑞銀推估 GPU 出貨量自 1,100 萬顆上修至 1,260 萬顆，2027 年輝達 HBM 最終消耗量反而微幅上調至 251 億 Gb。Google TPU 的 HBM 上調至 192 億 Gb；全球 HBM 達 615 億 Gb、年增 91%。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DRAM 需求上修：伺服器 DDR 需求有進一步上行空間，2027 年 DRAM 產業位元最終需求年增率由原估 36% 上調至 40%；2026 年為年增 21%。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NAND 價格與需求：NAND Flash 合約價分歧擴大，估今年 Q3 季增 20% 至超過 30%。伺服器、企業級 SSD 需求極強，位元需求年增率 2026 年由原估 54% 上調至 62%、2027 年由 45% 升至 51%。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同批報導併記：摩根士丹利同時按讚華邦電（2344），給予「優於大盤」評級（亦未給目標價）。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三、風險與資訊落差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最大缺口：瑞銀本則完全未揭露目標價、EPS 與本益比，僅有評等文字，無法據以判斷評價水準或計算隱含空間。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報告出具日期未載，見報日不等於報告日。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本則為產業報告的附帶點名，南亞科並非該篇的單一主標的，公司層級的量化佐證（南亞科自身的營收、毛利率、產能、成本結構）完全付之闕如。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瑞銀的多頭論述高度依賴「GPU 出貨量上修可補回 HBM 規格下修」這一單一假設；若 GPU 出貨量未達 1,260 萬顆，HBM 與 DRAM 需求預估將同步失準。輝達下修 Rubin Ultra 的 HBM 規格本身是需求端趨保守的訊號，原文以出貨量上修加以中和，但未討論兩者同時不如預期的情境。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既有序列對照：本系統 8/10 早盤已收錄大摩對南亞科的觀點 — 五家外資（大摩／摩根大通／瑞銀／大和資本／麥格理）均給正向評等、目標價區間 550～710 元，樂觀情境 1,160 元。瑞銀本則的「買進」與該區間紀錄一致，訊號強度有限。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指數事件干擾：MSCI 季調 8/13 揭曉，南亞科為呼聲最高的潛在新成分股，8/10 漲停與外資買超 3 萬張可能同時反映指數調整預期，須與基本面訊號分開解讀；未入列的下檔情境原文未討論。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股價已亮燈漲停且屬本波漲幅領先族群，短線追價風險偏高。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1. 外資揭密輝達、谷歌記憶體備貨總量！喊買這二檔台廠（經濟日報 2026/08/10 16:36）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https://money.udn.com/money/story/5607/9682390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2. 台股高檔震盪 但記憶體股本益比低很安全？外資狂掃南亞科3萬張（經濟日報 2026/08/10）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https://money.udn.com/money/story/5607/9682474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3. MSCI 卡位潮引爆記憶體股！南亞科、華邦電漲停 AI 缺貨行情再升溫（經濟日報 2026/08/10）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https://money.udn.com/money/story/5607/9681438</w:t>
      </w:r>
    </w:p>
    <w:p>
      <w:pPr>
        <w:spacing w:after="120" w:before="0"/>
      </w:pPr>
    </w:p>
    <w:p>
      <w:pPr>
        <w:spacing w:after="80" w:before="0"/>
      </w:pPr>
      <w:r>
        <w:rPr>
          <w:rFonts w:ascii="Microsoft JhengHei" w:hAnsi="Microsoft JhengHei" w:eastAsia="Microsoft JhengHei"/>
          <w:b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