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0"/>
          <w:szCs w:val="30"/>
        </w:rPr>
        <w:t xml:space="preserve">南亞科（2408）券商觀點摘要</w:t>
      </w:r>
    </w:p>
    <w:p>
      <w:pPr>
        <w:spacing w:after="20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本土法人（內資，原文未具名）　｜　2026/08/11（二）早盤場次　｜　產業：半導體－標準型／利基型 DRAM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一、評等與目標價摘要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4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本土法人（原文未具名）／內資。原文載「本土法人 10 日出具記憶體報告」。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強力買進（維持）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目標價（新）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1,000 元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目標價（前）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650 元（+53.8%）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評價基礎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以 2027 年 EPS 140.92 元給予 7 倍本益比（1,000 ÷ 140.92 ≒ 7.1 倍，數字自洽）。2027 年毛利率預估 87.5%。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報告出具日期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2026/08/10（原文明載）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既有序列對照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大摩 580 元（8/3）、凱基投顧增持 720 元（8/5）、群益投顧買進 556 元（8/5）、外資五家正向區間 550～710 元（8/10）、大摩樂觀情境 1,160 元（8/10）、瑞銀買進未給目標價（8/10）。本則 1,000 元遠高於外資區間上緣 710 元（高出 40.8%），但低於大摩樂觀情境 1,160 元。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同批報告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本則出自同一份「本土法人 2026/08/10 出具之記憶體產業報告」，該報告同時涵蓋南亞科（2408）、華邦電（2344）、晶豪科（3006）三檔，三檔均維持「強力買進」評等。</w:t>
            </w:r>
          </w:p>
        </w:tc>
      </w:tr>
    </w:tbl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二、投資論點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・本場次最大調升動作：目標價由 650 元一次拉到 1,000 元（+53.8%），為全市場首見的四位數目標價。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・客戶結構論點（逐字）：「目前南亞科 LTA 客戶鎖定的產能占比已達約 50%，且持續將短約轉為長約」－長約（LTA）比重提升是本次調升的核心佐證，意義在於獲利可預測性提高。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・產業結構論點（逐字）：「未來 3 至 5 年 DRAM 產業有望從高度循環轉向較高獲利、較低週期性的產業結構」－此為給予較高評價倍數的理論基礎。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・對輝達降規疑慮的回應（逐字）：「輝達 CPU 整體潛在市場規模（TAM）並未下修，出貨甚至可能優於原先預期」。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・本則為本場次少數同時揭露 EPS 絕對值、毛利率與本益比倍數的紀錄，評價基礎完整度明顯優於同場次其他標的。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三、營運與財務數字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・2027 年預估：毛利率 87.5%、EPS 140.92 元。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・評價倍數：7 倍本益比，與同一份報告中晶豪科所採用的倍數一致，顯示該法人對記憶體族群採統一評價口徑。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・指數題材（8/10 已收錄，非本則內容）：MSCI 季度調整 8/13 揭曉，統一投顧與兆豐國際投顧均點名南亞科為呼聲最高的潛在新成分股。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四、風險與資訊缺口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・券商未具名，無法追蹤該機構歷史預測準確度。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・2027 年毛利率預估 87.5% 為極端假設。此一水準已接近 IP／授權型公司而非記憶體製造業的正常區間，DRAM 屬高度資本密集且歷史上為強週期產業，該假設能否成立是整份估值的最大單一變數，原文未提供敏感度分析。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・「7 倍本益比」表面看似保守，但搭配 87.5% 毛利率與 EPS 140.92 元的極端獲利假設後，實質評價並不保守。低倍數 × 高 EPS 的組合容易讓讀者低估風險，引用時務必同時檢視 EPS 假設。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・「DRAM 產業從高度循環轉向低週期性」為結構性主張，屬本輪多頭最核心也最具爭議的論點，若不成立則 7 倍本益比本身也需重估。原文未討論此主張不成立的情境。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・1,000 元較 8/10 已收錄的外資五家共識區間上緣 710 元高出 40.8%，內外資落差極大，且外資區間未逐家揭露評價基礎，兩者無法有效對比。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・調升幅度 53.8% 屬一次性大幅修正，原文未說明前值 650 元的出具時點，無法判斷此為長期落後補調或新資訊驅動。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・原文未提供近期股價，無法計算隱含上漲空間。MSCI 季調 8/13 揭曉為事件驅動因素，股價可能同時反映指數調整預期，須與基本面訊號分開解讀。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五、來源連結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・三立新聞網（本土法人記憶體報告：華邦電／南亞科／晶豪科）2026/08/11 07:45：https://www.setn.com/news/1887284</w:t>
      </w:r>
    </w:p>
    <w:p>
      <w:pPr>
        <w:spacing w:after="80" w:before="20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77777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2026-08-11T00:33:51.901Z</dcterms:created>
  <dcterms:modified xsi:type="dcterms:W3CDTF">2026-08-11T00:33:51.901Z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