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南亞科(2408)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凱基投顧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凱基投顧（具名）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原文未載制式評等文字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720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2026/08/15（今周刊授權工商時報轉載）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參考股價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8/14 收 512 元，隱含空間約 40.6%（本系統回算）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★本場次唯一具名的內資投顧目標價，也是唯一內資觀點。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7 月營收優於市場預期、年增逾七倍。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Q3 營收可望季增約 60%，高於先前預估的季增 25%~30%。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DDR4 議價能力強；台廠僅南亞科與華邦電具備 DDR5 生產能力，在 HBM 產能供不應求時 DDR5 為主要替代方案。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已納入 MSCI 成分股，8/31 收盤生效，指數調整前有法人卡位買盤。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毛利率連四季增長至 79.49%，主要受惠 DRAM 需求大增與報價走揚（工商時報另稿）。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★資訊層級偏低：本則出自今周刊專家專訪稿的轉述，非凱基投顧研究報告原文，未載評等代碼、報告出具日期與目標價前值。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未揭露 EPS 預估與本益比，720 元無法回算驗證。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★短線動能高度依賴 MSCI 事件：原文自載法人卡位「吃豆腐」買盤推升，且指出應留意 8/31 生效日前後是否出現漲勢停滯或利多出盡訊號 — 這是事件驅動而非基本面驅動的部位。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Q3 營收季增約 60% 為預期值，且與先前預估（25%~30%）差距超過一倍，上修幅度過大本身即代表模型不確定性高。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8/14 盤中衝上 542 元新高後賣壓湧現，低點觸及 501 元、終場小跌收 512 元，籌碼已見鬆動跡象。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毛利率 79.49% 屬記憶體循環高點水準，報價一旦反轉，獲利下滑速度會同樣劇烈。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台股去槓桿風暴結束！名師斷言中秋後大復興 這幾檔「汰弱換強」私房標的快鎖定（工商時報 2026.08.15）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https://www.ctee.com.tw/news/20260815700010-430201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南亞科、華邦電、力積電怎麼選？分析師揭3大關鍵（工商時報 2026.08.15）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https://www.ctee.com.tw/news/20260815700576-430201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