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32"/>
          <w:szCs w:val="32"/>
        </w:rPr>
        <w:t xml:space="preserve">南亞（1303）個股摘要</w:t>
      </w:r>
    </w:p>
    <w:p>
      <w:pPr>
        <w:spacing w:after="200" w:before="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資料日期：2026年7月13日　｜　編製日：2026年7月14日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22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00"/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券商／屬性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小摩（摩根大通）／外資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優於大盤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200 元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目標價（舊）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未揭露（Factset 目標價中位數由156元升至200元、幅度約28.21%）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參考股價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199.5 元（7/13 收盤 +9.92%，創歷史天價）</w:t>
            </w:r>
          </w:p>
        </w:tc>
      </w:tr>
      <w:tr>
        <w:tc>
          <w:tcPr>
            <w:tcW w:type="dxa" w:w="2200"/>
            <w:shd w:fill="ED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/>
                <w:bCs/>
                <w:i w:val="false"/>
                <w:iCs w:val="false"/>
                <w:sz w:val="20"/>
                <w:szCs w:val="20"/>
              </w:rPr>
              <w:t xml:space="preserve">產業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塑化／電子材料</w:t>
            </w:r>
          </w:p>
        </w:tc>
      </w:tr>
    </w:tbl>
    <w:p>
      <w:pPr>
        <w:spacing w:after="100" w:before="24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投資論點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小摩看好南亞下半年材料業務持續成長，為台塑四寶中最被看好標的；電子材料（玻纖布等）不受傳產景氣影響，6月電子材料營收年增31.8%。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台塑集團Q2稅後純益642.76億元、年增45.5%，上半年獲利破千億元，集團面翻轉有利評價提升。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交叉持股與認列南亞科等轉投資權益法收益，提供獲利下檔保護。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風險與注意事項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13日收盤199.5元已貼近目標價200元，追價空間有限。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傳統塑化本業仍受油價與景氣循環影響，Q3集團獲利可能降溫。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電子材料動能若不如預期（玻纖布擴產、CCL需求），評價恐修正。</w:t>
      </w:r>
    </w:p>
    <w:p>
      <w:pPr>
        <w:spacing w:after="100" w:before="200"/>
      </w:pPr>
      <w:r>
        <w:rPr>
          <w:rFonts w:ascii="Microsoft JhengHei" w:eastAsia="Microsoft JhengHei" w:hAnsi="Microsoft JhengHei"/>
          <w:b/>
          <w:bCs/>
          <w:i w:val="false"/>
          <w:iCs w:val="false"/>
          <w:sz w:val="26"/>
          <w:szCs w:val="26"/>
        </w:rPr>
        <w:t xml:space="preserve">來源連結</w:t>
      </w:r>
    </w:p>
    <w:p>
      <w:pPr>
        <w:spacing w:after="60"/>
      </w:pPr>
      <w:hyperlink w:history="1" r:id="rIdo_hukmf_9chqlv41a4xei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https://news.cnyes.com/news/id/6532284</w:t>
        </w:r>
      </w:hyperlink>
    </w:p>
    <w:p>
      <w:pPr>
        <w:spacing w:after="60"/>
      </w:pPr>
      <w:hyperlink w:history="1" r:id="rIda7wjlzqsbj_u5apqezpab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https://news.cnyes.com/news/id/6532582</w:t>
        </w:r>
      </w:hyperlink>
    </w:p>
    <w:p>
      <w:pPr>
        <w:spacing w:after="60"/>
      </w:pPr>
      <w:hyperlink w:history="1" r:id="rIdwltdvhvpdygdisu2-uass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https://udn.com/news/story/7252/9624878</w:t>
        </w:r>
      </w:hyperlink>
    </w:p>
    <w:p>
      <w:pPr>
        <w:spacing w:after="120" w:before="200"/>
      </w:pPr>
      <w:r>
        <w:rPr>
          <w:rFonts w:ascii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11"/>
      <w:pgSz w:w="11906" w:h="16838" w:orient="portrait"/>
      <w:pgMar w:top="1300" w:right="1250" w:bottom="12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_hukmf_9chqlv41a4xei" Type="http://schemas.openxmlformats.org/officeDocument/2006/relationships/hyperlink" Target="https://news.cnyes.com/news/id/6532284" TargetMode="External"/><Relationship Id="rIda7wjlzqsbj_u5apqezpab" Type="http://schemas.openxmlformats.org/officeDocument/2006/relationships/hyperlink" Target="https://news.cnyes.com/news/id/6532582" TargetMode="External"/><Relationship Id="rIdwltdvhvpdygdisu2-uass" Type="http://schemas.openxmlformats.org/officeDocument/2006/relationships/hyperlink" Target="https://udn.com/news/story/7252/9624878" TargetMode="External"/><Relationship Id="rId10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2026-07-14T00:19:30.782Z</dcterms:created>
  <dcterms:modified xsi:type="dcterms:W3CDTF">2026-07-14T00:19:30.782Z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