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4E79"/>
          <w:sz w:val="32"/>
          <w:szCs w:val="32"/>
        </w:rPr>
        <w:t xml:space="preserve">南亞(1303)｜摩根大通（小摩）研究觀點摘要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595959"/>
          <w:sz w:val="20"/>
          <w:szCs w:val="20"/>
        </w:rPr>
        <w:t xml:space="preserve">報告日期（新聞見報）：2026/07/15｜外資｜產業：塑化／電子材料</w:t>
      </w:r>
    </w:p>
    <w:p>
      <w:pPr>
        <w:pBdr>
          <w:bottom w:val="single" w:color="1F4E79" w:sz="6" w:space="2"/>
        </w:pBd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4E79"/>
          <w:sz w:val="26"/>
          <w:szCs w:val="26"/>
        </w:rPr>
        <w:t xml:space="preserve">評等／目標價摘要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20"/>
                <w:szCs w:val="20"/>
              </w:rPr>
              <w:t xml:space="preserve">評等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優於大盤（維持）</w:t>
            </w:r>
          </w:p>
        </w:tc>
      </w:tr>
      <w:tr>
        <w:tc>
          <w:tcPr>
            <w:tcW w:type="dxa" w:w="23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20"/>
                <w:szCs w:val="20"/>
              </w:rPr>
              <w:t xml:space="preserve">目標價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300 元（前值 200 元，上調 50%）</w:t>
            </w:r>
          </w:p>
        </w:tc>
      </w:tr>
      <w:tr>
        <w:tc>
          <w:tcPr>
            <w:tcW w:type="dxa" w:w="23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20"/>
                <w:szCs w:val="20"/>
              </w:rPr>
              <w:t xml:space="preserve">EPS 預估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2026 年 10.9 元／2027 年 17.8 元（連年創歷史新高）</w:t>
            </w:r>
          </w:p>
        </w:tc>
      </w:tr>
      <w:tr>
        <w:tc>
          <w:tcPr>
            <w:tcW w:type="dxa" w:w="23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20"/>
                <w:szCs w:val="20"/>
              </w:rPr>
              <w:t xml:space="preserve">定位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PCB 供應鏈中評價最便宜代表；台塑四寶最優先投資選項</w:t>
            </w:r>
          </w:p>
        </w:tc>
      </w:tr>
    </w:tbl>
    <w:p>
      <w:pPr>
        <w:pBdr>
          <w:bottom w:val="single" w:color="1F4E79" w:sz="6" w:space="2"/>
        </w:pBd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4E79"/>
          <w:sz w:val="26"/>
          <w:szCs w:val="26"/>
        </w:rPr>
        <w:t xml:space="preserve">主要論點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2"/>
          <w:szCs w:val="22"/>
        </w:rPr>
        <w:t xml:space="preserve">獲利大幅超越預期：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第二季 EPS 高達 3.37 元，大幅超越市場共識的 2 元及買方法人期待的 2.5～3 元。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2"/>
          <w:szCs w:val="22"/>
        </w:rPr>
        <w:t xml:space="preserve">高階材料卡位：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成功切入 T-glass 與 AI 等級銅箔基板（CCL）供應鏈，一般電子材料供給依然吃緊，帶動產品價格與獲利能力提升。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2"/>
          <w:szCs w:val="22"/>
        </w:rPr>
        <w:t xml:space="preserve">獲利結構升級：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研判電子材料事業營業利益率 2027 年將攀升至歷史新高 30%。</w:t>
      </w:r>
    </w:p>
    <w:p>
      <w:pPr>
        <w:pBdr>
          <w:bottom w:val="single" w:color="1F4E79" w:sz="6" w:space="2"/>
        </w:pBd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4E79"/>
          <w:sz w:val="26"/>
          <w:szCs w:val="26"/>
        </w:rPr>
        <w:t xml:space="preserve">風險提示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2"/>
          <w:szCs w:val="22"/>
        </w:rPr>
        <w:t xml:space="preserve"/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新聞未明列風險；整理提示：電子材料漲價與供需缺口若不如預期、塑化本業景氣循環拖累、股價自 6 月中百元以下急漲逾倍後的回檔風險。</w:t>
      </w:r>
    </w:p>
    <w:p>
      <w:pPr>
        <w:pBdr>
          <w:bottom w:val="single" w:color="1F4E79" w:sz="6" w:space="2"/>
        </w:pBd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4E79"/>
          <w:sz w:val="26"/>
          <w:szCs w:val="26"/>
        </w:rPr>
        <w:t xml:space="preserve">來源連結</w:t>
      </w:r>
    </w:p>
    <w:p>
      <w:pPr>
        <w:spacing w:after="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404040"/>
          <w:sz w:val="18"/>
          <w:szCs w:val="18"/>
        </w:rPr>
        <w:t xml:space="preserve">• 工商時報 2026/07/15 19:50：https://www.ctee.com.tw/news/20260715701858-430201</w:t>
      </w:r>
    </w:p>
    <w:p>
      <w:pPr>
        <w:spacing w:before="240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808080"/>
          <w:sz w:val="18"/>
          <w:szCs w:val="18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silver" stroked="f">
          <v:fill opacity=".25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2026-07-16T00:18:49.809Z</dcterms:created>
  <dcterms:modified xsi:type="dcterms:W3CDTF">2026-07-16T00:18:49.809Z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