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32"/>
          <w:szCs w:val="32"/>
        </w:rPr>
        <w:t xml:space="preserve">南亞(1303)｜統一投顧研究觀點摘要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報告日期（新聞見報）：2026/07/15｜內資｜產業：塑化／電子材料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未揭露（看多）</w:t>
            </w:r>
          </w:p>
        </w:tc>
      </w:tr>
      <w:t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推測合理股價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300 元（與小摩並列市場最高）</w:t>
            </w:r>
          </w:p>
        </w:tc>
      </w:tr>
      <w:t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營運展望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 月營收估優於 6 月；第三季營收估優於第二季</w:t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主要論點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供需缺口擴大：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ABF 載板、銅箔基板、銅箔、玻纖布等產品供需缺口再擴大，南亞在 AI 供應鏈高階材料的開發、認證與銷售有顯著成效。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中低階也吃緊：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廠商將擴產資源湧入中高階材料，導致中低階材料開始供不應求，預期南亞電子材料漲價態勢延續。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子公司助攻：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南電受惠 AI 需求旺盛、ABF 與 BT 載板漲價效應延續，2026、2027 年業績可望明顯提升；南亞科受惠記憶體供需缺口再擴大，利潤急速成長。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風險提示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/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新聞未明列風險；整理提示：漲價循環若因產能開出而提前反轉、AI 需求不如預期、母以子貴行情對子公司股價連動的敏感度高。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來源連結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04040"/>
          <w:sz w:val="18"/>
          <w:szCs w:val="18"/>
        </w:rPr>
        <w:t xml:space="preserve">• 工商時報 2026/07/15 19:50：https://www.ctee.com.tw/news/20260715701858-430201</w:t>
      </w:r>
    </w:p>
    <w:p>
      <w:pPr>
        <w:spacing w:before="24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2026-07-16T00:18:49.810Z</dcterms:created>
  <dcterms:modified xsi:type="dcterms:W3CDTF">2026-07-16T00:18:49.810Z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