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0"/>
        </w:rPr>
        <w:t>南亞(1303)　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產業：塑化／電子材料（玻纖布、銅箔基板 CCL）　│　場次：2026/07/28 早盤　│　全市場掃描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474"/>
        <w:gridCol w:w="1247"/>
        <w:gridCol w:w="1134"/>
        <w:gridCol w:w="3175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目標價(新)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目標價(舊)</w:t>
            </w:r>
          </w:p>
        </w:tc>
        <w:tc>
          <w:tcPr>
            <w:tcW w:type="dxa" w:w="317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獲利預估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法人(未具名)／內資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未明列評等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260 元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未揭露</w:t>
            </w:r>
          </w:p>
        </w:tc>
        <w:tc>
          <w:tcPr>
            <w:tcW w:type="dxa" w:w="317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 年 EPS 估 11.43 元</w:t>
            </w:r>
          </w:p>
        </w:tc>
      </w:tr>
    </w:tbl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投資論點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法人給予南亞 260 元目標價，核心邏輯為玻纖布、CCL 等電子材料供不應求態勢依舊。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轉投資效益：南亞科（2408）與南電（8046）強力貢獻營運，是本業之外的主要獲利來源。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法人預估南亞 2026 年 EPS 達 11.43 元。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籌碼面：三大法人連 2 日買超南亞，累計 1.9 萬張、總額 34.45 億元；7/27 當日買超 1.6 萬張、進場 27.6 億元，居當日買超個股前十名。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風險與待確認事項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新聞未載明評等（買進／中立），亦未揭露目標價舊值與出具機構，本則資訊完整度偏低，待確認。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獲利高度依賴轉投資南亞科與南電，記憶體與 ABF 載板景氣循環將直接放大南亞 EPS 波動。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玻纖布／CCL 供不應求為當前漲價循環的產物，供給端擴產一旦到位，價格紅利可能收斂。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本業塑化部分未在報告重點中著墨，傳統業務的獲利貢獻與拖累程度未知。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2026/7/27 21:00 南亞法人目標價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https://www.ftnn.com.tw/news/564750</w:t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