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南亞（1303）券商觀點摘要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統一投顧（具名）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統一投顧（具名）（內資）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南亞（1303）　塑化＋電子材料（CCL／玻纖布／銅箔）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300（未變）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維持，本場次南亞三家投顧中最高價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維持「買進」評等與 300 元目標價；預估 2026／2027 年 EPS 各 12.02／16.94 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Q2 稅後純益 267.5 億元、EPS 3.37 元，遠優於原估的 2.31 元（達成率 146％），為單季歷史新高。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ABF 載板／CCL／銅箔／玻纖布供給缺口再擴大，Q3 電子材料營收占比上看 56％；轉投資南電、南亞科同步貢獻。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・原文自載：油價下跌使塑化利差縮窄，長期仍將重回供給過剩；M10 材料仍在客戶認證階段。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・未揭露本益比與目標價時間框架，300 元推導的評價基礎未說明。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・獲利結構高度依賴轉投資（南電、南亞科）與電子材料漲價，本業塑化仍為逆風，兩者權重原文未拆解。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・同一天三家投顧目標價分別為 300／240／未給，全距達 25％，分歧來源原文未說明。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・旺得富 2026/08/12 05:03 https://wantrich.chinatimes.com/news/20260812900001-420101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