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南亞（1303）券商觀點摘要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華南投顧（具名）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華南投顧（具名）（內資）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南亞（1303）　塑化＋電子材料（CCL／玻纖布／銅箔）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強力買進（升評）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升評並大幅調升 140.0％，為本場次唯一升評個案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評等由原本水準升級至「強力買進」，目標價由 100 元上調至 240 元（+140.0％）。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預估 2026／2027 年 EPS 各 12.83／18.6 元，高於同批統一投顧的 12.02／16.94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台塑四寶 7 月營收合計 1,519.5 億元、月增 14.7％、年增 31.5％，電子材料轉型效益是主要上修理由。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・調升幅度 140.0％ 屬極端一次性修正，前值 100 元的出具時點未載，不排除為長期未更新的舊值，「升幅」實質意義須打折。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・未揭露本益比與評價基礎，240 元推導無法驗證。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・同批統一投顧給 300 元、華南 240 元，華南 EPS 假設反而較高卻給較低目標價，代表兩家評價倍數差異更大，原文未說明。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・原文自載風險：油價下跌壓縮塑化利差、長期供給過剩；M10 材料仍在認證階段。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05:03 https://wantrich.chinatimes.com/news/20260812900001-420101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