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36"/>
        </w:rPr>
        <w:t>南亞（1303）券商觀點摘要</w:t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555555"/>
          <w:sz w:val="20"/>
        </w:rPr>
        <w:t>法人（工商時報未具名）　｜　見報 2026/08/18 03:00　工商時報 記者楊淨淳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7143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券商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法人（★ 工商時報未具名，未區分內外資）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評等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目標價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前值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本系統既有紀錄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2026/08/12　統一投顧（具名）　買進（維持）　300 元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2026/08/12　華南投顧（具名）　強力買進（升評）　240 元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2026/08/12　群益投顧（具名）　買進　未給目標價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2026/08/11　金控系投顧（未具名）　未給評等文字　242 元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本則定位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評等方向與既有內資紀錄一致，屬看法延續；因無目標價，不改變本系統既有的 240～300 元區間</w:t>
            </w:r>
          </w:p>
        </w:tc>
      </w:tr>
    </w:tbl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二、論點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Q2 實績：南亞第二季獲利創單季歷史新高。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漲價延續：法人預期南亞電子材料漲價態勢將延續，第三季整體營運正向。以 PCB 為主軸的玻纖絲／玻纖布、銅箔、銅箔基板（CCL）、ABF 載板等電子材料依然緊缺，售價持續調漲。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技術突破：南亞與日東紡合作，目前高階材料已趕上同業，銷售比重逐漸提升，下半年母子公司營運均可望受惠。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結構轉型：法人預估至 2027 年，南亞電子相關獲利占比將高達 97%。這是本則最值得注意的數字 —— 意味南亞的評價基準應由傳統塑化轉向電子材料。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評價論點：電子材料同業股價先前雖大幅修正，本益比仍多在 20 倍以上；相較之下南亞目前股價隱含的電子材料評價僅約 11 倍。此為本則多頭邏輯的核心 —— 主張南亞存在評價重估（re-rating）空間。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三、風險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★ 券商未具名、未區分內外資、未載報告出具日期、未載 EPS 預估與目標價，不構成可操作價位訊號，僅供評等方向參考。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★ 「2027 年電子獲利占比 97%」為法人預估值而非公司指引，且此一比例隱含傳統塑化本業獲利貢獻趨近於零。若塑化本業由微利轉為虧損，將直接侵蝕合併獲利，原文完全未討論此情境。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「隱含電子材料評價僅約 11 倍 vs 同業 20 倍以上」是折價論述，但折價本身不是催化劑。南亞為控股型結構、獲利來源分散，市場長期給予控股折價有其結構性原因，原文未說明為何這次折價會收斂。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整套邏輯建立在「電子材料漲價態勢延續」之上。玻纖布、銅箔、CCL、ABF 屬強週期性材料，一旦 PCB 客戶端庫存回補結束或 AI 伺服器拉貨放緩，售價回落速度同樣快，原文未做價格敏感度分析。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「與日東紡合作、高階材料已趕上同業」為定性描述，原文未提供認證進度、客戶名單或高階產品營收占比。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本則為新聞轉述而非報告原文，且刊於權證版面，撰稿角度為權證題材而非個股研究，資訊密度低於一般個股稿。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來源連結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・南亞、群聯 營運看旺（工商時報 2026.08.18 03:00）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https://www.ctee.com.tw/news/20260818700259-430203</w:t>
      </w:r>
    </w:p>
    <w:p>
      <w:pPr>
        <w:spacing w:before="0" w:after="80" w:line="276" w:lineRule="auto"/>
      </w:pP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0000"/>
          <w:sz w:val="19"/>
        </w:rPr>
        <w:t>本摘要依公開新聞整理，非完整報告。</w:t>
      </w:r>
    </w:p>
    <w:sectPr w:rsidR="00FC693F" w:rsidRPr="0006063C" w:rsidSect="00034616">
      <w:headerReference w:type="default" r:id="rId90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