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南亞（1303）｜摩根大通 優於大盤 目標價 300 → 350 元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早盤場次｜補收錄（09/02 17:47 工商時報、09/02 23:54 經濟日報）｜產業：塑化／電子材料－CCL、玻纖布、銅箔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摩根大通（小摩）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300 → 350（+16.7%，市場新高）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★09/02 收盤價未取得；以 08/28 收 220.5 元回算 +58.7%；隱含 2027 年 PE 約 14.5 倍（350/24.18，本系統回算）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2026/09/02｜工商時報 簡威瑟／經濟日報 任君翔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小摩 07/13 優於大盤 200（前值未揭露）→ 07/15 300 → 本次 350；統一投顧 07/15 300；華南投顧 240（08/12）。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FactSet 09/02 早盤紀錄：6 位分析師中位數 257.5 → 277.5、最高 300、5 位正向。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PTFE 題材：輝達正尋找損耗因子 Df 低於 0.0004 的下一代 CCL，PTFE 方案較易達標；南亞對先前送樣的環氧樹脂型 M10 材料深具信心，且過去具 PTFE CCL 生產經驗、近十年取得多項專利，小摩認為市場甚至部分產業人士「嚴重低估」南亞在 PTFE 領域的能力，可能成為 Rubin Ultra NVL576 交換器板材料的奇兵。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漲價循環：玻纖布今年漲逾一倍、FR-4 CCL 漲逾五成、銅箔 7–8 月再漲加工費；CCL 稼動率已逾九成。小摩上調 2026/2027 年電材營收預估各一成，M7 以上高階 CCL 營收占比預期由 2026 上半年不到 8% 升至 2027 下半年逾 50%。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獲利預估：2026、2027 年淨利分別上調 20% 與 68%，EPS 估 13.38 元／24.18 元（2027 年多賺一個股本）；全球伺服器出貨成長率上修至 20%（下半年年增 25%）。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基本面：上半年 EPS 5.17 元（Q2 3.37 元創單季新高）；7 月純益 31.68 億元、年增 337 倍；轉投資南亞科、南電分別卡位記憶體與 ABF 載板。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★原文未載 350 元評價基準（PE 倍數／年度），前值 300 元為本系統 07/15 紀錄；輝達 CCL 材料最終選擇（PTFE／混合／環氧樹脂）尚未定案，論點含較多情境假設。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南亞股價 8 月以來累漲逾五成（08/31 盤中漲停 242.5 元），FactSet 中位數 277.5、最高 300（08/31）已被小摩 350 大幅超越，市場預期快速拉高。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化工／聚酯本業仍受石化行情牽制；PTFE 加工難、良率偏低會推高成本。本則為新聞轉述非報告原文。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https://www.ctee.com.tw/news/20260902701817-430201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https://money.udn.com/money/story/5607/9730560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https://www.ctee.com.tw/news/20260903700332-430203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