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30"/>
        </w:rPr>
        <w:t>南亞（1303）　個股摘要　2026/09/06</w:t>
      </w:r>
    </w:p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color w:val="808080"/>
          <w:sz w:val="19"/>
        </w:rPr>
        <w:t>券商：法人（★未具名，外資／內資未載）｜產業：塑化／電子材料（CCL、銅箔、玻纖布）｜見報：工商時報 2026/09/06 11:34（方明）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7938"/>
      </w:tblGrid>
      <w:tr>
        <w:tc>
          <w:tcPr>
            <w:tcW w:type="dxa" w:w="1928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793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★重要提醒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稿中「300 元」係市場話題性關卡（「能不能挑戰 300 元」），並非券商目標價，不得引用為目標價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獲利軌跡（自結，排除權益法投資收益）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稅前淨利率 4 月 9.4%→5 月 13%→7 月 15.7%；歸母淨利率 4.7%→9.2%→10.4%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近期展望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法人預期 8 月營收優於 7 月、第三季優於第二季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既有紀錄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摩根大通 09/03 優於大盤、目標價 350 元（前值 300）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近期股價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09/03 收 219.5 元（-6.94%）；★09/04 收盤價待補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・獲利核心動能由傳統塑化轉向電子材料，本業獲利力連續數月改善。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・排除權益法投資收益後，4／5／7 月自結稅前淨利率與歸母淨利率均逐月墊高，顯示改善來自本業而非轉投資。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・法人預期電子材料漲價效應續行，帶動 8 月營收與第三季表現優於前期。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・子公司南電 ABF／BT 載板供不應求，南亞科受惠記憶體供給缺口；惟權益法投資收益須至季底才認列，可再挹注季度獲利。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三、風險與原文未載事項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・券商未具名，且未載外資或內資。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・★無目標價、無 EPS 預估、無評價基準，僅有評等文字。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・未載前次評等與調整方向，無法判定是否為新報告或舊觀點重述。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・權益法收益佔比高，南電（載板）與南亞科（記憶體）景氣反轉將直接回沖獲利。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・原文未列任何下行風險。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2026/09/06 11:34　https://www.ctee.com.tw/news/20260906700300-430201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