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65C"/>
          <w:sz w:val="32"/>
        </w:rPr>
        <w:t>南亞 (1303)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95959"/>
          <w:sz w:val="19"/>
        </w:rPr>
        <w:t>麥格理證券 Macquarie（★具名・外資）　｜　塑化／電子材料－CCL・銅箔・電子級玻纖布　｜　2026/09/08 早盤場次　｜　旺來研究報告系統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color w:val="1F365C"/>
          <w:sz w:val="23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927"/>
        <w:gridCol w:w="7824"/>
      </w:tblGrid>
      <w:tr>
        <w:tc>
          <w:tcPr>
            <w:tcW w:type="dxa" w:w="1928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82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報告日期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2026/09/08 見報（工商時報 03:00）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麥格理證券（★具名・外資）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優於大盤（Outperform）　★初評／初次納入研究範圍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424 元　★外資圈對南亞之新天價／無前值（初評）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09/07 收盤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230.5 元，+5.0（+2.22%），成交 75,938 張（來源 Goodinfo）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上漲空間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+83.9%（本系統以 09/07 收 230.5 元回算）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 年 14.1 元（年增 2,375%）｜2027 年 21.2 元（年增約 50%）｜2028 年 26.7 元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隱含本益比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 年 30.1 倍｜2027 年 20.0 倍（本系統回算）　★424 ÷ 21.2 恰為 20.0 倍，疑以 20 倍 2027 年 EPS 定價，原文未載，列查證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既有市場序列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摩根大通 優於大盤 350 元（09/03，前值 300 元 待確認）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二、投資論點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垂直整合為南亞的關鍵優勢：自玻纖紗、玻纖布、銅箔到 CCL 一條龍，麥格理認為此為同業難以複製的護城河。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南亞為全球第三大電子級玻纖布生產商；透過與日本日東紡（Nittobo）的策略合作，確保取得市場稀缺的低介電常數（Low-Dk）材料，鞏固其在 M8 以上等級 CCL 的地位。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產業面：全球 PCB 市場 2025 年成長 16.7%、規模達 858 億美元，麥格理認為此動能可支撐至 2027 年。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獲利結構轉向：電子材料業務將由 2024 年的虧損，轉為貢獻集團今年約 85% 的營業利益 — 亦即南亞的獲利核心已由傳統塑化正式移轉至電子材料。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2027 年起新增的 CCL 與玻纖產能可望再推升毛利率，為目標價的後續上調空間來源。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補充：既有市場觀點（摩根大通，09/03，非本場次新調整）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摩根大通給予優於大盤、目標價 350 元（前值 300 元，待確認）。看好 PTFE 超低介電損耗利於高速高頻傳輸，南亞已累積玻纖強化 PTFE 預浸體與多層細線路加工專利。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小摩預估全球伺服器出貨 2026 年 +22%、2027 年加速至 +25%；南亞 CCL 產能利用率已達 90% 以上，高階 M7+ CCL 營收占比由 2026 上半年不到 8% 提升至 2027 下半年逾 50%。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小摩估南亞 2026／2027 年淨利分別成長 20%／68%，看好 2027 年 ROE 突破 40% 創歷史新高。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★麥格理 424 元與小摩 350 元相差 21%，且兩家 EPS 預估基準不同（小摩 09/03 稿為 13.38／24.18 元，麥格理為 14.1／21.2 元），2027 年預估差異達 12%，顯示市場對南亞電子材料的獲利能見度分歧仍大。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三、風險與資料缺口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★原文未載評價方法（PE 倍數或 DCF）、未載目標價達成期間、未載營收預估，僅給 EPS 三年數字與目標價。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★原文未設風險段落 — 一份初評報告不列風險，資訊完整度應打折。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2026 年 EPS 年增 2,375% 係自極低基期跳升，此成長率不具延續性；真正該看的是 2027 年 +50%、2028 年 +26% 的斜率是否守得住。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獲利高度集中於電子材料（占營益 85%），等同南亞已成為 AI／高速運算供應鏈的高 Beta 標的；一旦 CCL 或玻纖布報價反轉，獲利波動將遠大於過去的塑化本業。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Low-Dk 材料依賴日東紡供應，屬單一來源風險；且供應合作條件（價格、數量、排他性）原文未揭露。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股價自 7 月底最低 135.5 元至 09/01 一度衝 250 元新天價，一個多月漲逾 80%（前場次紀錄），初評報告落在漲勢末段，追價風險需留意。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★09/07 收盤價原文未載，本摘要之收盤價與上漲空間係由 Goodinfo 補齊後自行回算。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四、來源連結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・工商時報｜麥格理初評南亞 424 元　https://www.ctee.com.tw/news/20260908700102-439901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・Goodinfo｜南亞 1303 三大法人日統計（09/07 收盤）　https://goodinfo.tw/tw/ShowBuySaleChart.asp?STOCK_ID=1303&amp;CHT_CAT=DATE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4"/>
        </w:rPr>
        <w:t xml:space="preserve">　</w:t>
      </w:r>
    </w:p>
    <w:p>
      <w:pPr>
        <w:spacing w:after="40"/>
        <w:pBdr>
          <w:bottom w:val="single" w:sz="6" w:space="1" w:color="B8C4D9"/>
        </w:pBdr>
      </w:pP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本摘要依公開新聞整理，非完整報告。標示「★」處為原文未揭露之資料缺口；標示「本系統回算」之數字為本系統自行推算，非券商原文載明。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