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Microsoft JhengHei" w:hAnsi="Microsoft JhengHei" w:eastAsia="Microsoft JhengHei"/>
          <w:b/>
          <w:sz w:val="28"/>
        </w:rPr>
        <w:t>南亞(1303)　高盛證券 Goldman Sachs：買進，並列入「確信買入名單 Conviction List」、★原文未載</w:t>
      </w:r>
    </w:p>
    <w:p>
      <w:r>
        <w:rPr>
          <w:rFonts w:ascii="Microsoft JhengHei" w:hAnsi="Microsoft JhengHei" w:eastAsia="Microsoft JhengHei"/>
          <w:b w:val="0"/>
          <w:sz w:val="19"/>
        </w:rPr>
        <w:t>資料日期：2026-09-10　｜　盤後場次　｜　浮水印：旺來 wowwow31001</w:t>
      </w:r>
    </w:p>
    <w:p/>
    <w:p>
      <w:r>
        <w:rPr>
          <w:rFonts w:ascii="Microsoft JhengHei" w:hAnsi="Microsoft JhengHei" w:eastAsia="Microsoft JhengHei"/>
          <w:b/>
          <w:sz w:val="24"/>
        </w:rPr>
        <w:t>一、評等與目標價摘要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項目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內容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報告日期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2026-09-10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券商／機構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高盛證券 Goldman Sachs（★具名）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外資／內資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外資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產業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塑化－電子材料／銅箔基板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投資評等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買進，並列入「確信買入名單 Conviction List」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目標價（新）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★原文未載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目標價（前值）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★原文未載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資料型態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新聞報導轉述，非完整報告</w:t>
            </w:r>
          </w:p>
        </w:tc>
      </w:tr>
    </w:tbl>
    <w:p/>
    <w:p>
      <w:r>
        <w:rPr>
          <w:rFonts w:ascii="Microsoft JhengHei" w:hAnsi="Microsoft JhengHei" w:eastAsia="Microsoft JhengHei"/>
          <w:b/>
          <w:sz w:val="24"/>
        </w:rPr>
        <w:t>二、投資論點</w:t>
      </w:r>
    </w:p>
    <w:p>
      <w:pPr>
        <w:ind w:left="240"/>
      </w:pPr>
      <w:r>
        <w:rPr>
          <w:rFonts w:ascii="Microsoft JhengHei" w:hAnsi="Microsoft JhengHei" w:eastAsia="Microsoft JhengHei"/>
          <w:b w:val="0"/>
          <w:sz w:val="21"/>
        </w:rPr>
        <w:t>• 高盛將南亞列入大中華區蘋果供應鏈確信買入名單，與鴻海同列。</w:t>
      </w:r>
    </w:p>
    <w:p>
      <w:pPr>
        <w:ind w:left="240"/>
      </w:pPr>
      <w:r>
        <w:rPr>
          <w:rFonts w:ascii="Microsoft JhengHei" w:hAnsi="Microsoft JhengHei" w:eastAsia="Microsoft JhengHei"/>
          <w:b w:val="0"/>
          <w:sz w:val="21"/>
        </w:rPr>
        <w:t>• ★同日另有未具名投顧法人表示「相對看好電子材料與業外轉投資獲利大幅成長的南亞」，但未揭露目標價數字。</w:t>
      </w:r>
    </w:p>
    <w:p>
      <w:pPr>
        <w:ind w:left="240"/>
      </w:pPr>
      <w:r>
        <w:rPr>
          <w:rFonts w:ascii="Microsoft JhengHei" w:hAnsi="Microsoft JhengHei" w:eastAsia="Microsoft JhengHei"/>
          <w:b w:val="0"/>
          <w:sz w:val="21"/>
        </w:rPr>
        <w:t>• ★9/10 盤後統計顯示外資賣超 383 億元中出現「配對交易」，買南亞、友達，賣群創、富喬。</w:t>
      </w:r>
    </w:p>
    <w:p/>
    <w:p>
      <w:r>
        <w:rPr>
          <w:rFonts w:ascii="Microsoft JhengHei" w:hAnsi="Microsoft JhengHei" w:eastAsia="Microsoft JhengHei"/>
          <w:b/>
          <w:sz w:val="24"/>
        </w:rPr>
        <w:t>三、風險與注意事項</w:t>
      </w:r>
    </w:p>
    <w:p>
      <w:pPr>
        <w:ind w:left="240"/>
      </w:pPr>
      <w:r>
        <w:rPr>
          <w:rFonts w:ascii="Microsoft JhengHei" w:hAnsi="Microsoft JhengHei" w:eastAsia="Microsoft JhengHei"/>
          <w:b w:val="0"/>
          <w:sz w:val="21"/>
        </w:rPr>
        <w:t>• ★原文未載目標價與風險章節。</w:t>
      </w:r>
    </w:p>
    <w:p>
      <w:pPr>
        <w:ind w:left="240"/>
      </w:pPr>
      <w:r>
        <w:rPr>
          <w:rFonts w:ascii="Microsoft JhengHei" w:hAnsi="Microsoft JhengHei" w:eastAsia="Microsoft JhengHei"/>
          <w:b w:val="0"/>
          <w:sz w:val="21"/>
        </w:rPr>
        <w:t>• 塑料終端備貨保守、烯烴及下游利差受限（僅 EG 較佳）；本業仍面臨中國大陸過剩產能競爭。</w:t>
      </w:r>
    </w:p>
    <w:p>
      <w:pPr>
        <w:ind w:left="240"/>
      </w:pPr>
      <w:r>
        <w:rPr>
          <w:rFonts w:ascii="Microsoft JhengHei" w:hAnsi="Microsoft JhengHei" w:eastAsia="Microsoft JhengHei"/>
          <w:b w:val="0"/>
          <w:sz w:val="21"/>
        </w:rPr>
        <w:t>• ★歷史紀錄：FactSet 於 2026-08-28 列南亞買進、目標價 277.5 元，與本則高盛觀點來源不同，不可混用。</w:t>
      </w:r>
    </w:p>
    <w:p/>
    <w:p>
      <w:r>
        <w:rPr>
          <w:rFonts w:ascii="Microsoft JhengHei" w:hAnsi="Microsoft JhengHei" w:eastAsia="Microsoft JhengHei"/>
          <w:b/>
          <w:sz w:val="24"/>
        </w:rPr>
        <w:t>四、來源連結</w:t>
      </w:r>
    </w:p>
    <w:p>
      <w:pPr>
        <w:ind w:left="240"/>
      </w:pPr>
      <w:r>
        <w:rPr>
          <w:rFonts w:ascii="Microsoft JhengHei" w:hAnsi="Microsoft JhengHei" w:eastAsia="Microsoft JhengHei"/>
          <w:b w:val="0"/>
          <w:sz w:val="21"/>
        </w:rPr>
        <w:t>• 經濟日報（2026-09-10 19:11）　https://money.udn.com/money/story/5607/9747061</w:t>
      </w:r>
    </w:p>
    <w:p>
      <w:pPr>
        <w:ind w:left="240"/>
      </w:pPr>
      <w:r>
        <w:rPr>
          <w:rFonts w:ascii="Microsoft JhengHei" w:hAnsi="Microsoft JhengHei" w:eastAsia="Microsoft JhengHei"/>
          <w:b w:val="0"/>
          <w:sz w:val="21"/>
        </w:rPr>
        <w:t>• 鉅亨網（2026-09-10 15:05）　https://news.cnyes.com/news/id/6602889</w:t>
      </w:r>
    </w:p>
    <w:p>
      <w:pPr>
        <w:ind w:left="240"/>
      </w:pPr>
      <w:r>
        <w:rPr>
          <w:rFonts w:ascii="Microsoft JhengHei" w:hAnsi="Microsoft JhengHei" w:eastAsia="Microsoft JhengHei"/>
          <w:b w:val="0"/>
          <w:sz w:val="21"/>
        </w:rPr>
        <w:t>• 經濟日報（2026-09-10 13:08）　https://money.udn.com/money/story/5607/9746083</w:t>
      </w:r>
    </w:p>
    <w:p/>
    <w:p>
      <w:r>
        <w:rPr>
          <w:rFonts w:ascii="Microsoft JhengHei" w:hAnsi="Microsoft JhengHei" w:eastAsia="Microsoft JhengHei"/>
          <w:b w:val="0"/>
          <w:sz w:val="18"/>
        </w:rPr>
        <w:t>※ 本摘要依公開新聞整理，非完整報告。★ 標示處為原文未載或表述模糊，未自行推定；數字不確定者已標「待確認」。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